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EEB60" w14:textId="67B9E89B" w:rsidR="000F64BB" w:rsidRPr="00713C17" w:rsidRDefault="000F64BB" w:rsidP="00850E53">
      <w:pPr>
        <w:pStyle w:val="Heading1"/>
      </w:pPr>
      <w:bookmarkStart w:id="0" w:name="_GoBack"/>
      <w:bookmarkEnd w:id="0"/>
      <w:r w:rsidRPr="00B2453B">
        <w:rPr>
          <w:u w:val="single"/>
        </w:rPr>
        <w:t xml:space="preserve">Putting </w:t>
      </w:r>
      <w:r w:rsidR="00EC60BF" w:rsidRPr="00B2453B">
        <w:rPr>
          <w:u w:val="single"/>
        </w:rPr>
        <w:t>I</w:t>
      </w:r>
      <w:r w:rsidRPr="00B2453B">
        <w:rPr>
          <w:u w:val="single"/>
        </w:rPr>
        <w:t>t All Together</w:t>
      </w:r>
      <w:r w:rsidRPr="008E3737">
        <w:t xml:space="preserve">: Roadmap Overview </w:t>
      </w:r>
      <w:r w:rsidR="00A77807">
        <w:t>and</w:t>
      </w:r>
      <w:r w:rsidR="00A77807" w:rsidRPr="008E3737">
        <w:t xml:space="preserve"> </w:t>
      </w:r>
      <w:r w:rsidRPr="008E3737">
        <w:t>Reporting Template</w:t>
      </w:r>
    </w:p>
    <w:p w14:paraId="7DB8848F" w14:textId="77777777" w:rsidR="000F64BB" w:rsidRDefault="000F64BB" w:rsidP="00850E53">
      <w:pPr>
        <w:pStyle w:val="Heading2"/>
      </w:pPr>
      <w:r>
        <w:t>Instructions</w:t>
      </w:r>
    </w:p>
    <w:p w14:paraId="2AC2551E" w14:textId="77777777" w:rsidR="000F64BB" w:rsidRPr="00F9321C" w:rsidRDefault="000F64BB" w:rsidP="00850E53">
      <w:pPr>
        <w:pStyle w:val="BodyTextposthead"/>
        <w:rPr>
          <w:spacing w:val="4"/>
        </w:rPr>
      </w:pPr>
      <w:r w:rsidRPr="00F9321C">
        <w:rPr>
          <w:spacing w:val="4"/>
        </w:rPr>
        <w:t>Please complete each field below. A district leader or staffer who was strongly involved with the equity work your district undertook while completing the five tools of this toolkit should complete this template with the support from the overall equity planning team. Each section of the reporting template can be filled in by copying and pasting the information from the end of each step in the toolkit.</w:t>
      </w:r>
    </w:p>
    <w:p w14:paraId="7C481A6A" w14:textId="0787711F" w:rsidR="000F64BB" w:rsidRDefault="000F64BB" w:rsidP="00850E53">
      <w:pPr>
        <w:pStyle w:val="BodyText"/>
      </w:pPr>
      <w:r>
        <w:t xml:space="preserve">If you have any questions, please reach out to </w:t>
      </w:r>
      <w:r w:rsidR="00643C5C">
        <w:t>the Equity Toolkit lead at your local ESC</w:t>
      </w:r>
      <w:r>
        <w:t>.</w:t>
      </w:r>
    </w:p>
    <w:p w14:paraId="752A4F63" w14:textId="77777777" w:rsidR="000F64BB" w:rsidRDefault="000F64BB" w:rsidP="00850E53">
      <w:pPr>
        <w:pStyle w:val="Heading2"/>
        <w:spacing w:after="120"/>
      </w:pPr>
      <w:r w:rsidRPr="000E0365">
        <w:t>District Reporting Template</w:t>
      </w:r>
    </w:p>
    <w:tbl>
      <w:tblPr>
        <w:tblStyle w:val="TexasToolkittable1"/>
        <w:tblW w:w="0" w:type="auto"/>
        <w:tblLook w:val="0600" w:firstRow="0" w:lastRow="0" w:firstColumn="0" w:lastColumn="0" w:noHBand="1" w:noVBand="1"/>
      </w:tblPr>
      <w:tblGrid>
        <w:gridCol w:w="3775"/>
        <w:gridCol w:w="5575"/>
      </w:tblGrid>
      <w:tr w:rsidR="000F64BB" w14:paraId="2209B4B5" w14:textId="77777777" w:rsidTr="00850E53">
        <w:tc>
          <w:tcPr>
            <w:tcW w:w="3775" w:type="dxa"/>
            <w:shd w:val="clear" w:color="auto" w:fill="E6F1FA" w:themeFill="accent1" w:themeFillTint="33"/>
          </w:tcPr>
          <w:p w14:paraId="733484F8" w14:textId="77777777" w:rsidR="000F64BB" w:rsidRPr="004F6777" w:rsidRDefault="000F64BB" w:rsidP="00850E53">
            <w:pPr>
              <w:rPr>
                <w:b/>
              </w:rPr>
            </w:pPr>
            <w:r w:rsidRPr="004F6777">
              <w:rPr>
                <w:b/>
              </w:rPr>
              <w:t>District Name</w:t>
            </w:r>
          </w:p>
        </w:tc>
        <w:tc>
          <w:tcPr>
            <w:tcW w:w="5575" w:type="dxa"/>
          </w:tcPr>
          <w:p w14:paraId="40DE0F9C" w14:textId="77777777" w:rsidR="000F64BB" w:rsidRDefault="000F64BB" w:rsidP="00850E53"/>
        </w:tc>
      </w:tr>
      <w:tr w:rsidR="000F64BB" w14:paraId="73830A9F" w14:textId="77777777" w:rsidTr="00850E53">
        <w:tc>
          <w:tcPr>
            <w:tcW w:w="3775" w:type="dxa"/>
            <w:shd w:val="clear" w:color="auto" w:fill="E6F1FA" w:themeFill="accent1" w:themeFillTint="33"/>
          </w:tcPr>
          <w:p w14:paraId="69663FD8" w14:textId="77777777" w:rsidR="000F64BB" w:rsidRPr="004F6777" w:rsidRDefault="000F64BB" w:rsidP="00850E53">
            <w:pPr>
              <w:rPr>
                <w:b/>
              </w:rPr>
            </w:pPr>
            <w:r>
              <w:rPr>
                <w:b/>
              </w:rPr>
              <w:t>County District Number (CDN)</w:t>
            </w:r>
          </w:p>
        </w:tc>
        <w:tc>
          <w:tcPr>
            <w:tcW w:w="5575" w:type="dxa"/>
          </w:tcPr>
          <w:p w14:paraId="12AC353C" w14:textId="77777777" w:rsidR="000F64BB" w:rsidRDefault="000F64BB" w:rsidP="00850E53"/>
        </w:tc>
      </w:tr>
      <w:tr w:rsidR="000F64BB" w14:paraId="0C9958BE" w14:textId="77777777" w:rsidTr="00850E53">
        <w:tc>
          <w:tcPr>
            <w:tcW w:w="3775" w:type="dxa"/>
            <w:shd w:val="clear" w:color="auto" w:fill="E6F1FA" w:themeFill="accent1" w:themeFillTint="33"/>
          </w:tcPr>
          <w:p w14:paraId="053B6F13" w14:textId="77777777" w:rsidR="000F64BB" w:rsidRPr="004F6777" w:rsidRDefault="000F64BB" w:rsidP="00850E53">
            <w:pPr>
              <w:rPr>
                <w:b/>
              </w:rPr>
            </w:pPr>
            <w:r w:rsidRPr="004F6777">
              <w:rPr>
                <w:b/>
              </w:rPr>
              <w:t>Date</w:t>
            </w:r>
          </w:p>
        </w:tc>
        <w:tc>
          <w:tcPr>
            <w:tcW w:w="5575" w:type="dxa"/>
          </w:tcPr>
          <w:p w14:paraId="5420E260" w14:textId="77777777" w:rsidR="000F64BB" w:rsidRDefault="000F64BB" w:rsidP="00850E53"/>
        </w:tc>
      </w:tr>
      <w:tr w:rsidR="000F64BB" w14:paraId="46CC5AA6" w14:textId="77777777" w:rsidTr="00850E53">
        <w:tc>
          <w:tcPr>
            <w:tcW w:w="3775" w:type="dxa"/>
            <w:shd w:val="clear" w:color="auto" w:fill="E6F1FA" w:themeFill="accent1" w:themeFillTint="33"/>
          </w:tcPr>
          <w:p w14:paraId="71EE18A8" w14:textId="77777777" w:rsidR="000F64BB" w:rsidRPr="004F6777" w:rsidRDefault="000F64BB" w:rsidP="00850E53">
            <w:pPr>
              <w:rPr>
                <w:b/>
              </w:rPr>
            </w:pPr>
            <w:r>
              <w:rPr>
                <w:b/>
              </w:rPr>
              <w:t>Name/E</w:t>
            </w:r>
            <w:r w:rsidR="00A05889">
              <w:rPr>
                <w:b/>
              </w:rPr>
              <w:t>-</w:t>
            </w:r>
            <w:r>
              <w:rPr>
                <w:b/>
              </w:rPr>
              <w:t>mail of District Point Person</w:t>
            </w:r>
          </w:p>
        </w:tc>
        <w:tc>
          <w:tcPr>
            <w:tcW w:w="5575" w:type="dxa"/>
          </w:tcPr>
          <w:p w14:paraId="5634E89B" w14:textId="77777777" w:rsidR="000F64BB" w:rsidRDefault="000F64BB" w:rsidP="00850E53"/>
        </w:tc>
      </w:tr>
    </w:tbl>
    <w:p w14:paraId="28BE7211" w14:textId="0D9FF380" w:rsidR="000F64BB" w:rsidRPr="00850E53" w:rsidRDefault="00D13DF3" w:rsidP="00850E53">
      <w:pPr>
        <w:pStyle w:val="Heading1"/>
      </w:pPr>
      <w:r w:rsidRPr="00145ED2">
        <w:rPr>
          <w:noProof/>
        </w:rPr>
        <w:drawing>
          <wp:anchor distT="0" distB="0" distL="114300" distR="114300" simplePos="0" relativeHeight="251700224" behindDoc="1" locked="0" layoutInCell="1" allowOverlap="1" wp14:anchorId="23F12856" wp14:editId="4C1DED03">
            <wp:simplePos x="0" y="0"/>
            <wp:positionH relativeFrom="column">
              <wp:posOffset>0</wp:posOffset>
            </wp:positionH>
            <wp:positionV relativeFrom="paragraph">
              <wp:posOffset>208280</wp:posOffset>
            </wp:positionV>
            <wp:extent cx="1692910" cy="908685"/>
            <wp:effectExtent l="0" t="0" r="2540" b="5715"/>
            <wp:wrapTight wrapText="bothSides">
              <wp:wrapPolygon edited="0">
                <wp:start x="0" y="0"/>
                <wp:lineTo x="0" y="21283"/>
                <wp:lineTo x="21389" y="21283"/>
                <wp:lineTo x="21389" y="0"/>
                <wp:lineTo x="0" y="0"/>
              </wp:wrapPolygon>
            </wp:wrapTight>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92910" cy="908685"/>
                    </a:xfrm>
                    <a:prstGeom prst="rect">
                      <a:avLst/>
                    </a:prstGeom>
                    <a:noFill/>
                  </pic:spPr>
                </pic:pic>
              </a:graphicData>
            </a:graphic>
            <wp14:sizeRelH relativeFrom="page">
              <wp14:pctWidth>0</wp14:pctWidth>
            </wp14:sizeRelH>
            <wp14:sizeRelV relativeFrom="page">
              <wp14:pctHeight>0</wp14:pctHeight>
            </wp14:sizeRelV>
          </wp:anchor>
        </w:drawing>
      </w:r>
      <w:r w:rsidR="000F64BB" w:rsidRPr="00145ED2">
        <w:t>Results of Step 1.</w:t>
      </w:r>
      <w:r w:rsidR="000F64BB" w:rsidRPr="00850E53">
        <w:t xml:space="preserve"> </w:t>
      </w:r>
      <w:r w:rsidR="001B249C">
        <w:t xml:space="preserve">Engaging </w:t>
      </w:r>
      <w:r w:rsidR="00A77807">
        <w:t>and</w:t>
      </w:r>
      <w:r w:rsidR="001B249C">
        <w:t xml:space="preserve"> Communicating with Stakeholders</w:t>
      </w:r>
    </w:p>
    <w:p w14:paraId="2D2AAEE6" w14:textId="5F5D0D7D" w:rsidR="000F64BB" w:rsidRPr="00F9321C" w:rsidRDefault="000F64BB" w:rsidP="00D13DF3">
      <w:pPr>
        <w:pStyle w:val="BodyTextposthead"/>
        <w:rPr>
          <w:spacing w:val="6"/>
        </w:rPr>
      </w:pPr>
      <w:r w:rsidRPr="00F9321C">
        <w:rPr>
          <w:spacing w:val="6"/>
        </w:rPr>
        <w:t>Note</w:t>
      </w:r>
      <w:r w:rsidRPr="00F9321C">
        <w:rPr>
          <w:rStyle w:val="BodyTextpostheadChar"/>
          <w:spacing w:val="6"/>
        </w:rPr>
        <w:t xml:space="preserve"> </w:t>
      </w:r>
      <w:r w:rsidRPr="00F9321C">
        <w:rPr>
          <w:spacing w:val="6"/>
        </w:rPr>
        <w:t xml:space="preserve">that TEA does not require districts to report the outcomes of their stakeholder engagement planning. </w:t>
      </w:r>
      <w:r w:rsidR="00643C5C" w:rsidRPr="00F9321C">
        <w:rPr>
          <w:spacing w:val="6"/>
        </w:rPr>
        <w:t>Your t</w:t>
      </w:r>
      <w:r w:rsidRPr="00F9321C">
        <w:rPr>
          <w:spacing w:val="6"/>
        </w:rPr>
        <w:t>eam may move forward to Step</w:t>
      </w:r>
      <w:r w:rsidR="00F9321C" w:rsidRPr="00F9321C">
        <w:rPr>
          <w:spacing w:val="6"/>
        </w:rPr>
        <w:t> </w:t>
      </w:r>
      <w:r w:rsidRPr="00F9321C">
        <w:rPr>
          <w:spacing w:val="6"/>
        </w:rPr>
        <w:t>2 to begin reporting the outcomes o</w:t>
      </w:r>
      <w:r w:rsidR="00850E53" w:rsidRPr="00F9321C">
        <w:rPr>
          <w:spacing w:val="6"/>
        </w:rPr>
        <w:t xml:space="preserve">f </w:t>
      </w:r>
      <w:r w:rsidR="00643C5C" w:rsidRPr="00F9321C">
        <w:rPr>
          <w:spacing w:val="6"/>
        </w:rPr>
        <w:t>your district’s</w:t>
      </w:r>
      <w:r w:rsidR="00850E53" w:rsidRPr="00F9321C">
        <w:rPr>
          <w:spacing w:val="6"/>
        </w:rPr>
        <w:t xml:space="preserve"> equity plan development</w:t>
      </w:r>
      <w:r w:rsidR="0056797B" w:rsidRPr="00F9321C">
        <w:rPr>
          <w:spacing w:val="6"/>
        </w:rPr>
        <w:t>.</w:t>
      </w:r>
    </w:p>
    <w:p w14:paraId="59847449" w14:textId="614AE845" w:rsidR="000F64BB" w:rsidRPr="00850E53" w:rsidRDefault="00D13DF3" w:rsidP="00850E53">
      <w:pPr>
        <w:pStyle w:val="Heading1"/>
      </w:pPr>
      <w:r w:rsidRPr="00D13DF3">
        <w:rPr>
          <w:noProof/>
        </w:rPr>
        <w:drawing>
          <wp:anchor distT="0" distB="0" distL="114300" distR="114300" simplePos="0" relativeHeight="251701248" behindDoc="1" locked="0" layoutInCell="1" allowOverlap="1" wp14:anchorId="5B13E4F4" wp14:editId="2A4C89CE">
            <wp:simplePos x="0" y="0"/>
            <wp:positionH relativeFrom="column">
              <wp:posOffset>39370</wp:posOffset>
            </wp:positionH>
            <wp:positionV relativeFrom="paragraph">
              <wp:posOffset>274955</wp:posOffset>
            </wp:positionV>
            <wp:extent cx="1692910" cy="908050"/>
            <wp:effectExtent l="0" t="0" r="2540" b="6350"/>
            <wp:wrapTight wrapText="bothSides">
              <wp:wrapPolygon edited="0">
                <wp:start x="0" y="0"/>
                <wp:lineTo x="0" y="21298"/>
                <wp:lineTo x="21389" y="21298"/>
                <wp:lineTo x="21389" y="0"/>
                <wp:lineTo x="0" y="0"/>
              </wp:wrapPolygon>
            </wp:wrapTight>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692910" cy="908050"/>
                    </a:xfrm>
                    <a:prstGeom prst="rect">
                      <a:avLst/>
                    </a:prstGeom>
                    <a:noFill/>
                  </pic:spPr>
                </pic:pic>
              </a:graphicData>
            </a:graphic>
            <wp14:sizeRelH relativeFrom="page">
              <wp14:pctWidth>0</wp14:pctWidth>
            </wp14:sizeRelH>
            <wp14:sizeRelV relativeFrom="page">
              <wp14:pctHeight>0</wp14:pctHeight>
            </wp14:sizeRelV>
          </wp:anchor>
        </w:drawing>
      </w:r>
      <w:r w:rsidR="000F64BB" w:rsidRPr="00850E53">
        <w:t>Results of Step 2. Review</w:t>
      </w:r>
      <w:r w:rsidR="001B249C">
        <w:t>ing</w:t>
      </w:r>
      <w:r w:rsidR="000F64BB" w:rsidRPr="00850E53">
        <w:t xml:space="preserve"> </w:t>
      </w:r>
      <w:r w:rsidR="00A77807">
        <w:t>and</w:t>
      </w:r>
      <w:r w:rsidR="00A77807" w:rsidRPr="00850E53">
        <w:t xml:space="preserve"> </w:t>
      </w:r>
      <w:r w:rsidR="000F64BB" w:rsidRPr="00850E53">
        <w:t>Analy</w:t>
      </w:r>
      <w:r w:rsidR="001B249C">
        <w:t>zing Data</w:t>
      </w:r>
    </w:p>
    <w:p w14:paraId="496E0057" w14:textId="6A918D0E" w:rsidR="000F64BB" w:rsidRDefault="000F64BB" w:rsidP="00D13DF3">
      <w:pPr>
        <w:pStyle w:val="BodyTextposthead"/>
      </w:pPr>
      <w:r w:rsidRPr="004631CD">
        <w:t xml:space="preserve">For this next set of items, please refer to the </w:t>
      </w:r>
      <w:r>
        <w:t>“</w:t>
      </w:r>
      <w:r w:rsidRPr="004631CD">
        <w:t xml:space="preserve">Putting </w:t>
      </w:r>
      <w:r w:rsidR="00BE62CF">
        <w:t>I</w:t>
      </w:r>
      <w:r w:rsidRPr="004631CD">
        <w:t xml:space="preserve">t All Together: Incorporating Your </w:t>
      </w:r>
      <w:r w:rsidR="001B249C">
        <w:t>Review</w:t>
      </w:r>
      <w:r w:rsidR="00496059">
        <w:t>ing</w:t>
      </w:r>
      <w:r w:rsidR="001B249C">
        <w:t xml:space="preserve"> </w:t>
      </w:r>
      <w:r w:rsidR="00A77807">
        <w:t>and</w:t>
      </w:r>
      <w:r w:rsidR="001B249C">
        <w:t xml:space="preserve"> Analyzing Data</w:t>
      </w:r>
      <w:r w:rsidRPr="004631CD">
        <w:t xml:space="preserve"> Efforts </w:t>
      </w:r>
      <w:r w:rsidR="00BE62CF" w:rsidRPr="004631CD">
        <w:t xml:space="preserve">Into Your </w:t>
      </w:r>
      <w:r w:rsidRPr="004631CD">
        <w:t>Roadmap Reporting Template</w:t>
      </w:r>
      <w:r>
        <w:t xml:space="preserve">” from the </w:t>
      </w:r>
      <w:r w:rsidRPr="00D13DF3">
        <w:rPr>
          <w:rStyle w:val="BodyTextMediumItalicChar"/>
        </w:rPr>
        <w:t xml:space="preserve">Step 2. </w:t>
      </w:r>
      <w:r w:rsidR="008954ED" w:rsidRPr="008954ED">
        <w:rPr>
          <w:rStyle w:val="BodyTextMediumItalicChar"/>
        </w:rPr>
        <w:t xml:space="preserve">Reviewing </w:t>
      </w:r>
      <w:r w:rsidR="00A77807">
        <w:rPr>
          <w:rStyle w:val="BodyTextMediumItalicChar"/>
        </w:rPr>
        <w:t xml:space="preserve">and </w:t>
      </w:r>
      <w:r w:rsidR="008954ED" w:rsidRPr="008954ED">
        <w:rPr>
          <w:rStyle w:val="BodyTextMediumItalicChar"/>
        </w:rPr>
        <w:t>Analyzing Data</w:t>
      </w:r>
      <w:r>
        <w:t xml:space="preserve"> tool. Please transfer the information from the end of Step 2 into the spaces below.</w:t>
      </w:r>
    </w:p>
    <w:p w14:paraId="1C0FF20F" w14:textId="77777777" w:rsidR="000F64BB" w:rsidRDefault="000F64BB" w:rsidP="00D13DF3">
      <w:pPr>
        <w:pStyle w:val="BodyText"/>
      </w:pPr>
      <w:r>
        <w:t>Districts with four or more campuses</w:t>
      </w:r>
      <w:r w:rsidR="00BE62CF">
        <w:t xml:space="preserve"> should</w:t>
      </w:r>
      <w:r>
        <w:t xml:space="preserve"> complete Table A. Districts with </w:t>
      </w:r>
      <w:r w:rsidR="00BE62CF">
        <w:t>three or fewer campuse</w:t>
      </w:r>
      <w:r>
        <w:t>s</w:t>
      </w:r>
      <w:r w:rsidR="00BE62CF">
        <w:t xml:space="preserve"> should</w:t>
      </w:r>
      <w:r>
        <w:t xml:space="preserve"> complete Table B. All districts </w:t>
      </w:r>
      <w:r w:rsidR="00BE62CF">
        <w:t xml:space="preserve">also </w:t>
      </w:r>
      <w:r>
        <w:t>must respond to the two questions following Table B on your district’s definition of effective teaching.</w:t>
      </w:r>
      <w:r>
        <w:br w:type="page"/>
      </w:r>
    </w:p>
    <w:p w14:paraId="2AC5E4DE" w14:textId="348D9912" w:rsidR="000F64BB" w:rsidRDefault="00145ED2" w:rsidP="00D13DF3">
      <w:pPr>
        <w:pStyle w:val="TableTitle"/>
      </w:pPr>
      <w:r>
        <w:lastRenderedPageBreak/>
        <w:t xml:space="preserve">Table </w:t>
      </w:r>
      <w:r w:rsidR="00CC368C">
        <w:t>A. Districts w</w:t>
      </w:r>
      <w:r w:rsidR="000F64BB">
        <w:t>ith Four or More Campuses—Reporting Template for Calculating Equity Gaps for Inexperienced and Out-of-Field Teachers</w:t>
      </w:r>
    </w:p>
    <w:tbl>
      <w:tblPr>
        <w:tblStyle w:val="TexasToolkittable1"/>
        <w:tblW w:w="5000" w:type="pct"/>
        <w:tblLook w:val="0620" w:firstRow="1" w:lastRow="0" w:firstColumn="0" w:lastColumn="0" w:noHBand="1" w:noVBand="1"/>
      </w:tblPr>
      <w:tblGrid>
        <w:gridCol w:w="590"/>
        <w:gridCol w:w="3815"/>
        <w:gridCol w:w="2472"/>
        <w:gridCol w:w="2473"/>
      </w:tblGrid>
      <w:tr w:rsidR="00C83D65" w14:paraId="678DEF97" w14:textId="77777777" w:rsidTr="00F9321C">
        <w:trPr>
          <w:cnfStyle w:val="100000000000" w:firstRow="1" w:lastRow="0" w:firstColumn="0" w:lastColumn="0" w:oddVBand="0" w:evenVBand="0" w:oddHBand="0" w:evenHBand="0" w:firstRowFirstColumn="0" w:firstRowLastColumn="0" w:lastRowFirstColumn="0" w:lastRowLastColumn="0"/>
          <w:tblHeader/>
        </w:trPr>
        <w:tc>
          <w:tcPr>
            <w:tcW w:w="590" w:type="dxa"/>
            <w:vMerge w:val="restart"/>
            <w:vAlign w:val="bottom"/>
          </w:tcPr>
          <w:p w14:paraId="607DC625" w14:textId="77777777" w:rsidR="00C83D65" w:rsidRPr="00464E00" w:rsidRDefault="00C83D65" w:rsidP="00541CF6">
            <w:pPr>
              <w:pStyle w:val="TableColumnHeadingCenter"/>
            </w:pPr>
            <w:r w:rsidRPr="00464E00">
              <w:t>R</w:t>
            </w:r>
            <w:r>
              <w:t>ow</w:t>
            </w:r>
          </w:p>
        </w:tc>
        <w:tc>
          <w:tcPr>
            <w:tcW w:w="3815" w:type="dxa"/>
            <w:vMerge w:val="restart"/>
            <w:vAlign w:val="bottom"/>
          </w:tcPr>
          <w:p w14:paraId="54276DE1" w14:textId="77777777" w:rsidR="00C83D65" w:rsidRDefault="00C83D65" w:rsidP="00541CF6">
            <w:pPr>
              <w:pStyle w:val="TableColumnHeadingCenter"/>
            </w:pPr>
            <w:r w:rsidRPr="001B3484">
              <w:t>Comparison</w:t>
            </w:r>
          </w:p>
        </w:tc>
        <w:tc>
          <w:tcPr>
            <w:tcW w:w="4945" w:type="dxa"/>
            <w:gridSpan w:val="2"/>
            <w:tcBorders>
              <w:bottom w:val="single" w:sz="6" w:space="0" w:color="FFFFFF" w:themeColor="background1"/>
            </w:tcBorders>
            <w:vAlign w:val="bottom"/>
          </w:tcPr>
          <w:p w14:paraId="07AF34EC" w14:textId="77777777" w:rsidR="00C83D65" w:rsidRDefault="00C83D65" w:rsidP="00541CF6">
            <w:pPr>
              <w:pStyle w:val="TableColumnHeadingCenter"/>
            </w:pPr>
            <w:r>
              <w:t>Percentages of:</w:t>
            </w:r>
          </w:p>
        </w:tc>
      </w:tr>
      <w:tr w:rsidR="00C83D65" w14:paraId="269A0604" w14:textId="77777777" w:rsidTr="00F9321C">
        <w:trPr>
          <w:cnfStyle w:val="100000000000" w:firstRow="1" w:lastRow="0" w:firstColumn="0" w:lastColumn="0" w:oddVBand="0" w:evenVBand="0" w:oddHBand="0" w:evenHBand="0" w:firstRowFirstColumn="0" w:firstRowLastColumn="0" w:lastRowFirstColumn="0" w:lastRowLastColumn="0"/>
          <w:trHeight w:val="206"/>
          <w:tblHeader/>
        </w:trPr>
        <w:tc>
          <w:tcPr>
            <w:tcW w:w="590" w:type="dxa"/>
            <w:vMerge/>
            <w:tcBorders>
              <w:bottom w:val="nil"/>
            </w:tcBorders>
            <w:vAlign w:val="bottom"/>
          </w:tcPr>
          <w:p w14:paraId="4B2D53FD" w14:textId="77777777" w:rsidR="00C83D65" w:rsidRPr="00464E00" w:rsidRDefault="00C83D65" w:rsidP="00541CF6">
            <w:pPr>
              <w:pStyle w:val="TableColumnHeadingCenter"/>
            </w:pPr>
          </w:p>
        </w:tc>
        <w:tc>
          <w:tcPr>
            <w:tcW w:w="3815" w:type="dxa"/>
            <w:vMerge/>
            <w:tcBorders>
              <w:bottom w:val="nil"/>
            </w:tcBorders>
            <w:vAlign w:val="bottom"/>
          </w:tcPr>
          <w:p w14:paraId="24FBEC79" w14:textId="77777777" w:rsidR="00C83D65" w:rsidRPr="001B3484" w:rsidRDefault="00C83D65" w:rsidP="00541CF6">
            <w:pPr>
              <w:pStyle w:val="TableColumnHeadingCenter"/>
            </w:pPr>
          </w:p>
        </w:tc>
        <w:tc>
          <w:tcPr>
            <w:tcW w:w="2472" w:type="dxa"/>
            <w:tcBorders>
              <w:top w:val="single" w:sz="6" w:space="0" w:color="FFFFFF" w:themeColor="background1"/>
              <w:bottom w:val="nil"/>
            </w:tcBorders>
            <w:vAlign w:val="bottom"/>
          </w:tcPr>
          <w:p w14:paraId="6FABB672" w14:textId="77777777" w:rsidR="00C83D65" w:rsidRPr="00464E00" w:rsidRDefault="00C83D65" w:rsidP="00541CF6">
            <w:pPr>
              <w:pStyle w:val="TableColumnHeadingCenter"/>
            </w:pPr>
            <w:r>
              <w:t>Ine</w:t>
            </w:r>
            <w:r w:rsidRPr="00464E00">
              <w:t>xperienced Teachers</w:t>
            </w:r>
          </w:p>
        </w:tc>
        <w:tc>
          <w:tcPr>
            <w:tcW w:w="2473" w:type="dxa"/>
            <w:tcBorders>
              <w:top w:val="single" w:sz="6" w:space="0" w:color="FFFFFF" w:themeColor="background1"/>
              <w:bottom w:val="nil"/>
            </w:tcBorders>
            <w:vAlign w:val="bottom"/>
          </w:tcPr>
          <w:p w14:paraId="2983211C" w14:textId="77777777" w:rsidR="00C83D65" w:rsidRDefault="00C83D65" w:rsidP="00541CF6">
            <w:pPr>
              <w:pStyle w:val="TableColumnHeadingCenter"/>
            </w:pPr>
            <w:r>
              <w:t>Out-of</w:t>
            </w:r>
            <w:r w:rsidRPr="00464E00">
              <w:t>-Field Teachers</w:t>
            </w:r>
          </w:p>
        </w:tc>
      </w:tr>
      <w:tr w:rsidR="00C83D65" w14:paraId="6AA94B9A" w14:textId="77777777" w:rsidTr="00CC368C">
        <w:trPr>
          <w:trHeight w:val="251"/>
        </w:trPr>
        <w:tc>
          <w:tcPr>
            <w:tcW w:w="9350" w:type="dxa"/>
            <w:gridSpan w:val="4"/>
            <w:shd w:val="clear" w:color="auto" w:fill="D0CECE" w:themeFill="background2" w:themeFillShade="E6"/>
            <w:vAlign w:val="center"/>
          </w:tcPr>
          <w:p w14:paraId="7DE58EEE" w14:textId="77777777" w:rsidR="00C83D65" w:rsidRDefault="00C83D65" w:rsidP="00541CF6">
            <w:pPr>
              <w:pStyle w:val="TableSubheading"/>
            </w:pPr>
            <w:r>
              <w:t>Equity Gap Calculations: Low-Income Students</w:t>
            </w:r>
          </w:p>
        </w:tc>
      </w:tr>
      <w:tr w:rsidR="00C83D65" w14:paraId="560B89F7" w14:textId="77777777" w:rsidTr="00F9321C">
        <w:trPr>
          <w:trHeight w:val="278"/>
        </w:trPr>
        <w:tc>
          <w:tcPr>
            <w:tcW w:w="590" w:type="dxa"/>
            <w:vAlign w:val="center"/>
          </w:tcPr>
          <w:p w14:paraId="7BC6389F" w14:textId="77777777" w:rsidR="00C83D65" w:rsidRPr="00464E00" w:rsidRDefault="00C83D65" w:rsidP="00541CF6">
            <w:pPr>
              <w:pStyle w:val="TableSubheadingCentered"/>
            </w:pPr>
            <w:r>
              <w:t>A</w:t>
            </w:r>
          </w:p>
        </w:tc>
        <w:tc>
          <w:tcPr>
            <w:tcW w:w="3815" w:type="dxa"/>
            <w:vAlign w:val="center"/>
          </w:tcPr>
          <w:p w14:paraId="7E771841" w14:textId="77777777" w:rsidR="00C83D65" w:rsidRDefault="00C83D65" w:rsidP="00541CF6">
            <w:pPr>
              <w:pStyle w:val="TableText"/>
            </w:pPr>
            <w:r>
              <w:t>High-poverty quartile</w:t>
            </w:r>
          </w:p>
        </w:tc>
        <w:tc>
          <w:tcPr>
            <w:tcW w:w="2472" w:type="dxa"/>
            <w:vAlign w:val="center"/>
          </w:tcPr>
          <w:p w14:paraId="39EA766A" w14:textId="77777777" w:rsidR="00C83D65" w:rsidRPr="00AE5108" w:rsidRDefault="00C83D65" w:rsidP="00541CF6">
            <w:pPr>
              <w:pStyle w:val="TableText14pt"/>
            </w:pPr>
          </w:p>
        </w:tc>
        <w:tc>
          <w:tcPr>
            <w:tcW w:w="2473" w:type="dxa"/>
            <w:vAlign w:val="center"/>
          </w:tcPr>
          <w:p w14:paraId="72CDA3A3" w14:textId="77777777" w:rsidR="00C83D65" w:rsidRDefault="00C83D65" w:rsidP="00541CF6">
            <w:pPr>
              <w:pStyle w:val="TableText14pt"/>
            </w:pPr>
          </w:p>
        </w:tc>
      </w:tr>
      <w:tr w:rsidR="00C83D65" w14:paraId="36DB2CD4" w14:textId="77777777" w:rsidTr="00F9321C">
        <w:trPr>
          <w:trHeight w:val="296"/>
        </w:trPr>
        <w:tc>
          <w:tcPr>
            <w:tcW w:w="590" w:type="dxa"/>
            <w:vAlign w:val="center"/>
          </w:tcPr>
          <w:p w14:paraId="13B8BC59" w14:textId="77777777" w:rsidR="00C83D65" w:rsidRPr="00464E00" w:rsidRDefault="00C83D65" w:rsidP="00541CF6">
            <w:pPr>
              <w:pStyle w:val="TableSubheadingCentered"/>
            </w:pPr>
            <w:r>
              <w:t>B</w:t>
            </w:r>
          </w:p>
        </w:tc>
        <w:tc>
          <w:tcPr>
            <w:tcW w:w="3815" w:type="dxa"/>
            <w:vAlign w:val="center"/>
          </w:tcPr>
          <w:p w14:paraId="311E6039" w14:textId="77777777" w:rsidR="00C83D65" w:rsidRDefault="00C83D65" w:rsidP="00541CF6">
            <w:pPr>
              <w:pStyle w:val="TableText"/>
            </w:pPr>
            <w:r>
              <w:t>Low-poverty quartile</w:t>
            </w:r>
          </w:p>
        </w:tc>
        <w:tc>
          <w:tcPr>
            <w:tcW w:w="2472" w:type="dxa"/>
            <w:vAlign w:val="center"/>
          </w:tcPr>
          <w:p w14:paraId="755E45E4" w14:textId="77777777" w:rsidR="00C83D65" w:rsidRDefault="00C83D65" w:rsidP="00541CF6">
            <w:pPr>
              <w:pStyle w:val="TableText14pt"/>
            </w:pPr>
          </w:p>
        </w:tc>
        <w:tc>
          <w:tcPr>
            <w:tcW w:w="2473" w:type="dxa"/>
            <w:vAlign w:val="center"/>
          </w:tcPr>
          <w:p w14:paraId="3CAC3E34" w14:textId="77777777" w:rsidR="00C83D65" w:rsidRDefault="00C83D65" w:rsidP="00541CF6">
            <w:pPr>
              <w:pStyle w:val="TableText14pt"/>
            </w:pPr>
          </w:p>
        </w:tc>
      </w:tr>
      <w:tr w:rsidR="00C83D65" w14:paraId="0AED2996" w14:textId="77777777" w:rsidTr="00CC368C">
        <w:trPr>
          <w:trHeight w:val="359"/>
        </w:trPr>
        <w:tc>
          <w:tcPr>
            <w:tcW w:w="590" w:type="dxa"/>
            <w:shd w:val="clear" w:color="auto" w:fill="E7E6E6" w:themeFill="background2"/>
            <w:vAlign w:val="center"/>
          </w:tcPr>
          <w:p w14:paraId="115395FD" w14:textId="77777777" w:rsidR="00C83D65" w:rsidRPr="00464E00" w:rsidRDefault="00C83D65" w:rsidP="00541CF6">
            <w:pPr>
              <w:pStyle w:val="TableSubheadingCentered"/>
            </w:pPr>
            <w:r>
              <w:t>C</w:t>
            </w:r>
          </w:p>
        </w:tc>
        <w:tc>
          <w:tcPr>
            <w:tcW w:w="3815" w:type="dxa"/>
            <w:shd w:val="clear" w:color="auto" w:fill="E7E6E6" w:themeFill="background2"/>
            <w:vAlign w:val="center"/>
          </w:tcPr>
          <w:p w14:paraId="4EADBDA3" w14:textId="4D3E3618" w:rsidR="00C83D65" w:rsidRDefault="00C83D65" w:rsidP="00F9321C">
            <w:pPr>
              <w:pStyle w:val="TableText"/>
            </w:pPr>
            <w:r w:rsidRPr="00F9321C">
              <w:rPr>
                <w:rStyle w:val="TableSubheadingChar"/>
              </w:rPr>
              <w:t>District equity gap:</w:t>
            </w:r>
            <w:r>
              <w:rPr>
                <w:b/>
              </w:rPr>
              <w:t xml:space="preserve"> </w:t>
            </w:r>
            <w:r w:rsidRPr="006804F1">
              <w:t>High</w:t>
            </w:r>
            <w:r>
              <w:t xml:space="preserve">-poverty quartile minus </w:t>
            </w:r>
            <w:r w:rsidRPr="006804F1">
              <w:t>low</w:t>
            </w:r>
            <w:r>
              <w:t>-</w:t>
            </w:r>
            <w:r w:rsidRPr="006804F1">
              <w:t>poverty quartile</w:t>
            </w:r>
            <w:r w:rsidRPr="00F9321C">
              <w:rPr>
                <w:rFonts w:asciiTheme="majorHAnsi" w:hAnsiTheme="majorHAnsi"/>
              </w:rPr>
              <w:t xml:space="preserve"> </w:t>
            </w:r>
            <w:r w:rsidRPr="00F9321C">
              <w:rPr>
                <w:rStyle w:val="TableSubheadingChar"/>
              </w:rPr>
              <w:t>(row A</w:t>
            </w:r>
            <w:r w:rsidR="00F9321C" w:rsidRPr="00F9321C">
              <w:rPr>
                <w:rStyle w:val="TableSubheadingChar"/>
              </w:rPr>
              <w:t>–r</w:t>
            </w:r>
            <w:r w:rsidRPr="00F9321C">
              <w:rPr>
                <w:rStyle w:val="TableSubheadingChar"/>
              </w:rPr>
              <w:t>ow B)</w:t>
            </w:r>
          </w:p>
        </w:tc>
        <w:tc>
          <w:tcPr>
            <w:tcW w:w="2472" w:type="dxa"/>
            <w:shd w:val="clear" w:color="auto" w:fill="E7E6E6" w:themeFill="background2"/>
            <w:vAlign w:val="center"/>
          </w:tcPr>
          <w:p w14:paraId="7A50EEED" w14:textId="77777777" w:rsidR="00C83D65" w:rsidRDefault="00C83D65" w:rsidP="00541CF6">
            <w:pPr>
              <w:pStyle w:val="TableText14pt"/>
            </w:pPr>
          </w:p>
        </w:tc>
        <w:tc>
          <w:tcPr>
            <w:tcW w:w="2473" w:type="dxa"/>
            <w:shd w:val="clear" w:color="auto" w:fill="E7E6E6" w:themeFill="background2"/>
            <w:vAlign w:val="center"/>
          </w:tcPr>
          <w:p w14:paraId="0DEAFCB3" w14:textId="77777777" w:rsidR="00C83D65" w:rsidRDefault="00C83D65" w:rsidP="00541CF6">
            <w:pPr>
              <w:pStyle w:val="TableText14pt"/>
            </w:pPr>
          </w:p>
        </w:tc>
      </w:tr>
      <w:tr w:rsidR="00C83D65" w14:paraId="0423519E" w14:textId="77777777" w:rsidTr="00F9321C">
        <w:trPr>
          <w:trHeight w:val="395"/>
        </w:trPr>
        <w:tc>
          <w:tcPr>
            <w:tcW w:w="590" w:type="dxa"/>
            <w:vAlign w:val="center"/>
          </w:tcPr>
          <w:p w14:paraId="476108B4" w14:textId="77777777" w:rsidR="00C83D65" w:rsidRDefault="00C83D65" w:rsidP="00541CF6">
            <w:pPr>
              <w:pStyle w:val="TableSubheadingCentered"/>
            </w:pPr>
            <w:r>
              <w:t>D</w:t>
            </w:r>
          </w:p>
        </w:tc>
        <w:tc>
          <w:tcPr>
            <w:tcW w:w="3815" w:type="dxa"/>
            <w:vAlign w:val="center"/>
          </w:tcPr>
          <w:p w14:paraId="7097B77B" w14:textId="6CDD494B" w:rsidR="00C83D65" w:rsidRPr="00976F26" w:rsidRDefault="00C83D65" w:rsidP="005A35BA">
            <w:pPr>
              <w:pStyle w:val="TableText"/>
            </w:pPr>
            <w:r w:rsidRPr="00976F26">
              <w:t>State average</w:t>
            </w:r>
            <w:r w:rsidR="005A35BA" w:rsidRPr="005A35BA">
              <w:rPr>
                <w:vertAlign w:val="superscript"/>
              </w:rPr>
              <w:t>a</w:t>
            </w:r>
          </w:p>
        </w:tc>
        <w:tc>
          <w:tcPr>
            <w:tcW w:w="2472" w:type="dxa"/>
            <w:vAlign w:val="center"/>
          </w:tcPr>
          <w:p w14:paraId="0766DE93" w14:textId="77777777" w:rsidR="00C83D65" w:rsidRPr="00347774" w:rsidRDefault="00C83D65" w:rsidP="00541CF6">
            <w:pPr>
              <w:pStyle w:val="TableText14pt"/>
              <w:rPr>
                <w:sz w:val="32"/>
              </w:rPr>
            </w:pPr>
          </w:p>
        </w:tc>
        <w:tc>
          <w:tcPr>
            <w:tcW w:w="2473" w:type="dxa"/>
            <w:vAlign w:val="center"/>
          </w:tcPr>
          <w:p w14:paraId="10756EAB" w14:textId="77777777" w:rsidR="00C83D65" w:rsidRPr="00347774" w:rsidRDefault="00C83D65" w:rsidP="00541CF6">
            <w:pPr>
              <w:pStyle w:val="TableText14pt"/>
              <w:rPr>
                <w:sz w:val="32"/>
              </w:rPr>
            </w:pPr>
          </w:p>
        </w:tc>
      </w:tr>
      <w:tr w:rsidR="00C83D65" w14:paraId="3DCF6AA4" w14:textId="77777777" w:rsidTr="00CC368C">
        <w:trPr>
          <w:trHeight w:val="296"/>
        </w:trPr>
        <w:tc>
          <w:tcPr>
            <w:tcW w:w="590" w:type="dxa"/>
            <w:shd w:val="clear" w:color="auto" w:fill="E7E6E6" w:themeFill="background2"/>
            <w:vAlign w:val="center"/>
          </w:tcPr>
          <w:p w14:paraId="59FED66A" w14:textId="77777777" w:rsidR="00C83D65" w:rsidRDefault="00C83D65" w:rsidP="00541CF6">
            <w:pPr>
              <w:pStyle w:val="TableSubheadingCentered"/>
            </w:pPr>
            <w:r>
              <w:t>E</w:t>
            </w:r>
          </w:p>
        </w:tc>
        <w:tc>
          <w:tcPr>
            <w:tcW w:w="3815" w:type="dxa"/>
            <w:shd w:val="clear" w:color="auto" w:fill="E7E6E6" w:themeFill="background2"/>
            <w:vAlign w:val="center"/>
          </w:tcPr>
          <w:p w14:paraId="20748D4E" w14:textId="199129FA" w:rsidR="00C83D65" w:rsidRDefault="00C83D65" w:rsidP="00F9321C">
            <w:pPr>
              <w:pStyle w:val="TableText"/>
              <w:rPr>
                <w:b/>
              </w:rPr>
            </w:pPr>
            <w:r w:rsidRPr="00F9321C">
              <w:rPr>
                <w:rStyle w:val="TableSubheadingChar"/>
              </w:rPr>
              <w:t>State equity gap:</w:t>
            </w:r>
            <w:r>
              <w:rPr>
                <w:b/>
              </w:rPr>
              <w:t xml:space="preserve"> </w:t>
            </w:r>
            <w:r w:rsidRPr="006804F1">
              <w:t>High</w:t>
            </w:r>
            <w:r>
              <w:t xml:space="preserve">-poverty quartile minus state average </w:t>
            </w:r>
            <w:r w:rsidRPr="00F9321C">
              <w:rPr>
                <w:rStyle w:val="TableSubheadingChar"/>
              </w:rPr>
              <w:t>(row A</w:t>
            </w:r>
            <w:r w:rsidR="00F9321C">
              <w:rPr>
                <w:rStyle w:val="TableSubheadingChar"/>
              </w:rPr>
              <w:t>–</w:t>
            </w:r>
            <w:r w:rsidRPr="00F9321C">
              <w:rPr>
                <w:rStyle w:val="TableSubheadingChar"/>
              </w:rPr>
              <w:t xml:space="preserve">row D) </w:t>
            </w:r>
          </w:p>
        </w:tc>
        <w:tc>
          <w:tcPr>
            <w:tcW w:w="2472" w:type="dxa"/>
            <w:shd w:val="clear" w:color="auto" w:fill="E7E6E6" w:themeFill="background2"/>
            <w:vAlign w:val="center"/>
          </w:tcPr>
          <w:p w14:paraId="325DB949" w14:textId="77777777" w:rsidR="00C83D65" w:rsidRPr="00347774" w:rsidRDefault="00C83D65" w:rsidP="00541CF6">
            <w:pPr>
              <w:pStyle w:val="TableText14pt"/>
              <w:rPr>
                <w:sz w:val="32"/>
              </w:rPr>
            </w:pPr>
          </w:p>
        </w:tc>
        <w:tc>
          <w:tcPr>
            <w:tcW w:w="2473" w:type="dxa"/>
            <w:shd w:val="clear" w:color="auto" w:fill="E7E6E6" w:themeFill="background2"/>
            <w:vAlign w:val="center"/>
          </w:tcPr>
          <w:p w14:paraId="5099F817" w14:textId="77777777" w:rsidR="00C83D65" w:rsidRPr="00347774" w:rsidRDefault="00C83D65" w:rsidP="00541CF6">
            <w:pPr>
              <w:pStyle w:val="TableText14pt"/>
              <w:rPr>
                <w:sz w:val="32"/>
              </w:rPr>
            </w:pPr>
          </w:p>
        </w:tc>
      </w:tr>
      <w:tr w:rsidR="00C83D65" w14:paraId="4198B4BB" w14:textId="77777777" w:rsidTr="00CC368C">
        <w:trPr>
          <w:trHeight w:val="404"/>
        </w:trPr>
        <w:tc>
          <w:tcPr>
            <w:tcW w:w="9350" w:type="dxa"/>
            <w:gridSpan w:val="4"/>
            <w:shd w:val="clear" w:color="auto" w:fill="86BBE6" w:themeFill="accent1"/>
            <w:vAlign w:val="center"/>
          </w:tcPr>
          <w:p w14:paraId="593AD8B6" w14:textId="77777777" w:rsidR="00C83D65" w:rsidRDefault="00C83D65" w:rsidP="00541CF6">
            <w:pPr>
              <w:pStyle w:val="TableSubheading"/>
            </w:pPr>
            <w:r>
              <w:t>Equity Gap Calculations: Students of Color</w:t>
            </w:r>
          </w:p>
        </w:tc>
      </w:tr>
      <w:tr w:rsidR="00C83D65" w14:paraId="3E22EAE6" w14:textId="77777777" w:rsidTr="00F9321C">
        <w:trPr>
          <w:trHeight w:val="125"/>
        </w:trPr>
        <w:tc>
          <w:tcPr>
            <w:tcW w:w="590" w:type="dxa"/>
            <w:vAlign w:val="center"/>
          </w:tcPr>
          <w:p w14:paraId="1A5A3204" w14:textId="77777777" w:rsidR="00C83D65" w:rsidRDefault="00C83D65" w:rsidP="00541CF6">
            <w:pPr>
              <w:pStyle w:val="TableSubheadingCentered"/>
            </w:pPr>
            <w:r>
              <w:t>F</w:t>
            </w:r>
          </w:p>
        </w:tc>
        <w:tc>
          <w:tcPr>
            <w:tcW w:w="3815" w:type="dxa"/>
            <w:vAlign w:val="center"/>
          </w:tcPr>
          <w:p w14:paraId="113D9341" w14:textId="77777777" w:rsidR="00C83D65" w:rsidRDefault="00C83D65" w:rsidP="00541CF6">
            <w:pPr>
              <w:pStyle w:val="TableText"/>
            </w:pPr>
            <w:r>
              <w:t>High-minority quartile</w:t>
            </w:r>
          </w:p>
        </w:tc>
        <w:tc>
          <w:tcPr>
            <w:tcW w:w="2472" w:type="dxa"/>
            <w:vAlign w:val="center"/>
          </w:tcPr>
          <w:p w14:paraId="0246E940" w14:textId="77777777" w:rsidR="00C83D65" w:rsidRPr="00AE5108" w:rsidRDefault="00C83D65" w:rsidP="00541CF6">
            <w:pPr>
              <w:pStyle w:val="TableText14pt"/>
            </w:pPr>
          </w:p>
        </w:tc>
        <w:tc>
          <w:tcPr>
            <w:tcW w:w="2473" w:type="dxa"/>
            <w:vAlign w:val="center"/>
          </w:tcPr>
          <w:p w14:paraId="756EFE69" w14:textId="77777777" w:rsidR="00C83D65" w:rsidRDefault="00C83D65" w:rsidP="00541CF6">
            <w:pPr>
              <w:pStyle w:val="TableText14pt"/>
            </w:pPr>
          </w:p>
        </w:tc>
      </w:tr>
      <w:tr w:rsidR="00C83D65" w14:paraId="3F77CD56" w14:textId="77777777" w:rsidTr="00F9321C">
        <w:trPr>
          <w:trHeight w:val="278"/>
        </w:trPr>
        <w:tc>
          <w:tcPr>
            <w:tcW w:w="590" w:type="dxa"/>
            <w:vAlign w:val="center"/>
          </w:tcPr>
          <w:p w14:paraId="5C9A418F" w14:textId="77777777" w:rsidR="00C83D65" w:rsidRDefault="00C83D65" w:rsidP="00541CF6">
            <w:pPr>
              <w:pStyle w:val="TableSubheadingCentered"/>
            </w:pPr>
            <w:r>
              <w:t>G</w:t>
            </w:r>
          </w:p>
        </w:tc>
        <w:tc>
          <w:tcPr>
            <w:tcW w:w="3815" w:type="dxa"/>
            <w:vAlign w:val="center"/>
          </w:tcPr>
          <w:p w14:paraId="24D1FA25" w14:textId="77777777" w:rsidR="00C83D65" w:rsidRDefault="00C83D65" w:rsidP="00541CF6">
            <w:pPr>
              <w:pStyle w:val="TableText"/>
            </w:pPr>
            <w:r>
              <w:t>Low-minority quartile</w:t>
            </w:r>
          </w:p>
        </w:tc>
        <w:tc>
          <w:tcPr>
            <w:tcW w:w="2472" w:type="dxa"/>
            <w:vAlign w:val="center"/>
          </w:tcPr>
          <w:p w14:paraId="26762633" w14:textId="77777777" w:rsidR="00C83D65" w:rsidRDefault="00C83D65" w:rsidP="00541CF6">
            <w:pPr>
              <w:pStyle w:val="TableText14pt"/>
            </w:pPr>
          </w:p>
        </w:tc>
        <w:tc>
          <w:tcPr>
            <w:tcW w:w="2473" w:type="dxa"/>
            <w:vAlign w:val="center"/>
          </w:tcPr>
          <w:p w14:paraId="1DA43451" w14:textId="77777777" w:rsidR="00C83D65" w:rsidRDefault="00C83D65" w:rsidP="00541CF6">
            <w:pPr>
              <w:pStyle w:val="TableText14pt"/>
            </w:pPr>
          </w:p>
        </w:tc>
      </w:tr>
      <w:tr w:rsidR="00C83D65" w14:paraId="3D05359B" w14:textId="77777777" w:rsidTr="00CC368C">
        <w:trPr>
          <w:trHeight w:val="404"/>
        </w:trPr>
        <w:tc>
          <w:tcPr>
            <w:tcW w:w="590" w:type="dxa"/>
            <w:shd w:val="clear" w:color="auto" w:fill="E6F1FA" w:themeFill="accent1" w:themeFillTint="33"/>
            <w:vAlign w:val="center"/>
          </w:tcPr>
          <w:p w14:paraId="720D21C6" w14:textId="77777777" w:rsidR="00C83D65" w:rsidRDefault="00C83D65" w:rsidP="00541CF6">
            <w:pPr>
              <w:pStyle w:val="TableSubheadingCentered"/>
            </w:pPr>
            <w:r>
              <w:t>H</w:t>
            </w:r>
          </w:p>
        </w:tc>
        <w:tc>
          <w:tcPr>
            <w:tcW w:w="3815" w:type="dxa"/>
            <w:shd w:val="clear" w:color="auto" w:fill="E6F1FA" w:themeFill="accent1" w:themeFillTint="33"/>
            <w:vAlign w:val="center"/>
          </w:tcPr>
          <w:p w14:paraId="7CD59858" w14:textId="6D5B8638" w:rsidR="00C83D65" w:rsidRDefault="00C83D65" w:rsidP="00F9321C">
            <w:pPr>
              <w:pStyle w:val="TableText"/>
            </w:pPr>
            <w:r w:rsidRPr="00F9321C">
              <w:rPr>
                <w:rStyle w:val="TableSubheadingChar"/>
              </w:rPr>
              <w:t>District equity gap:</w:t>
            </w:r>
            <w:r>
              <w:rPr>
                <w:b/>
              </w:rPr>
              <w:t xml:space="preserve"> </w:t>
            </w:r>
            <w:r w:rsidRPr="006804F1">
              <w:t>High</w:t>
            </w:r>
            <w:r>
              <w:t xml:space="preserve">-minority quartile minus </w:t>
            </w:r>
            <w:r w:rsidRPr="006804F1">
              <w:t>low</w:t>
            </w:r>
            <w:r>
              <w:t>-minority</w:t>
            </w:r>
            <w:r w:rsidRPr="006804F1">
              <w:t xml:space="preserve"> quartile</w:t>
            </w:r>
            <w:r>
              <w:t xml:space="preserve"> </w:t>
            </w:r>
            <w:r w:rsidRPr="00F9321C">
              <w:rPr>
                <w:rStyle w:val="TableSubheadingChar"/>
              </w:rPr>
              <w:t>(row F</w:t>
            </w:r>
            <w:r w:rsidR="00F9321C">
              <w:rPr>
                <w:rStyle w:val="TableSubheadingChar"/>
              </w:rPr>
              <w:t>–</w:t>
            </w:r>
            <w:r w:rsidRPr="00F9321C">
              <w:rPr>
                <w:rStyle w:val="TableSubheadingChar"/>
              </w:rPr>
              <w:t>row G)</w:t>
            </w:r>
          </w:p>
        </w:tc>
        <w:tc>
          <w:tcPr>
            <w:tcW w:w="2472" w:type="dxa"/>
            <w:shd w:val="clear" w:color="auto" w:fill="E6F1FA" w:themeFill="accent1" w:themeFillTint="33"/>
            <w:vAlign w:val="center"/>
          </w:tcPr>
          <w:p w14:paraId="29426C12" w14:textId="77777777" w:rsidR="00C83D65" w:rsidRDefault="00C83D65" w:rsidP="00541CF6">
            <w:pPr>
              <w:pStyle w:val="TableText14pt"/>
            </w:pPr>
          </w:p>
        </w:tc>
        <w:tc>
          <w:tcPr>
            <w:tcW w:w="2473" w:type="dxa"/>
            <w:shd w:val="clear" w:color="auto" w:fill="E6F1FA" w:themeFill="accent1" w:themeFillTint="33"/>
            <w:vAlign w:val="center"/>
          </w:tcPr>
          <w:p w14:paraId="7438AB01" w14:textId="77777777" w:rsidR="00C83D65" w:rsidRDefault="00C83D65" w:rsidP="00541CF6">
            <w:pPr>
              <w:pStyle w:val="TableText14pt"/>
            </w:pPr>
          </w:p>
        </w:tc>
      </w:tr>
      <w:tr w:rsidR="00C83D65" w:rsidRPr="00AE5108" w14:paraId="240DDBE9" w14:textId="77777777" w:rsidTr="00CC368C">
        <w:trPr>
          <w:trHeight w:val="602"/>
        </w:trPr>
        <w:tc>
          <w:tcPr>
            <w:tcW w:w="590" w:type="dxa"/>
            <w:shd w:val="clear" w:color="auto" w:fill="E6F1FA" w:themeFill="accent1" w:themeFillTint="33"/>
            <w:vAlign w:val="center"/>
          </w:tcPr>
          <w:p w14:paraId="0BE6590C" w14:textId="77777777" w:rsidR="00C83D65" w:rsidRPr="00AE5108" w:rsidRDefault="00C83D65" w:rsidP="00541CF6">
            <w:pPr>
              <w:pStyle w:val="TableSubheadingCentered"/>
            </w:pPr>
            <w:r>
              <w:t>I</w:t>
            </w:r>
          </w:p>
        </w:tc>
        <w:tc>
          <w:tcPr>
            <w:tcW w:w="3815" w:type="dxa"/>
            <w:shd w:val="clear" w:color="auto" w:fill="E6F1FA" w:themeFill="accent1" w:themeFillTint="33"/>
            <w:vAlign w:val="center"/>
          </w:tcPr>
          <w:p w14:paraId="1EF2DDC1" w14:textId="2CE5C88C" w:rsidR="00C83D65" w:rsidRPr="00976F26" w:rsidRDefault="00C83D65" w:rsidP="00F9321C">
            <w:pPr>
              <w:pStyle w:val="TableText"/>
            </w:pPr>
            <w:r w:rsidRPr="00F9321C">
              <w:rPr>
                <w:rStyle w:val="TableSubheadingChar"/>
              </w:rPr>
              <w:t>State equity gap:</w:t>
            </w:r>
            <w:r>
              <w:t xml:space="preserve"> High-minority quartile minus state average</w:t>
            </w:r>
            <w:r w:rsidRPr="00F9321C">
              <w:rPr>
                <w:rStyle w:val="TableSubheadingChar"/>
              </w:rPr>
              <w:t xml:space="preserve"> (row F</w:t>
            </w:r>
            <w:r w:rsidR="00F9321C">
              <w:rPr>
                <w:rStyle w:val="TableSubheadingChar"/>
              </w:rPr>
              <w:t>–</w:t>
            </w:r>
            <w:r w:rsidRPr="00F9321C">
              <w:rPr>
                <w:rStyle w:val="TableSubheadingChar"/>
              </w:rPr>
              <w:t>row D)</w:t>
            </w:r>
          </w:p>
        </w:tc>
        <w:tc>
          <w:tcPr>
            <w:tcW w:w="2472" w:type="dxa"/>
            <w:shd w:val="clear" w:color="auto" w:fill="E6F1FA" w:themeFill="accent1" w:themeFillTint="33"/>
            <w:vAlign w:val="center"/>
          </w:tcPr>
          <w:p w14:paraId="6631F806" w14:textId="77777777" w:rsidR="00C83D65" w:rsidRPr="00AE5108" w:rsidRDefault="00C83D65" w:rsidP="00541CF6">
            <w:pPr>
              <w:pStyle w:val="TableText14pt"/>
              <w:rPr>
                <w:b/>
              </w:rPr>
            </w:pPr>
          </w:p>
        </w:tc>
        <w:tc>
          <w:tcPr>
            <w:tcW w:w="2473" w:type="dxa"/>
            <w:shd w:val="clear" w:color="auto" w:fill="E6F1FA" w:themeFill="accent1" w:themeFillTint="33"/>
            <w:vAlign w:val="center"/>
          </w:tcPr>
          <w:p w14:paraId="2604DFE3" w14:textId="77777777" w:rsidR="00C83D65" w:rsidRPr="00F44233" w:rsidDel="007721EA" w:rsidRDefault="00C83D65" w:rsidP="00541CF6">
            <w:pPr>
              <w:pStyle w:val="TableText14pt"/>
              <w:rPr>
                <w:sz w:val="32"/>
              </w:rPr>
            </w:pPr>
          </w:p>
        </w:tc>
      </w:tr>
    </w:tbl>
    <w:p w14:paraId="7F7540FC" w14:textId="735B2810" w:rsidR="00C83D65" w:rsidRDefault="005A35BA" w:rsidP="00117362">
      <w:pPr>
        <w:pStyle w:val="TableNote"/>
      </w:pPr>
      <w:r w:rsidRPr="005A35BA">
        <w:rPr>
          <w:vertAlign w:val="superscript"/>
        </w:rPr>
        <w:t>a</w:t>
      </w:r>
      <w:r>
        <w:t xml:space="preserve"> </w:t>
      </w:r>
      <w:r w:rsidR="00C83D65">
        <w:t xml:space="preserve">State averages for inexperienced and out-of-field teachers are available and updated annually on the TEA Equity Toolkit </w:t>
      </w:r>
      <w:hyperlink r:id="rId10" w:history="1">
        <w:r w:rsidR="00C83D65" w:rsidRPr="00F15578">
          <w:rPr>
            <w:rStyle w:val="Hyperlink"/>
          </w:rPr>
          <w:t>website</w:t>
        </w:r>
      </w:hyperlink>
      <w:r w:rsidR="00C83D65">
        <w:t>.</w:t>
      </w:r>
    </w:p>
    <w:p w14:paraId="6B349645" w14:textId="77777777" w:rsidR="000F64BB" w:rsidRDefault="000F64BB" w:rsidP="00850E53">
      <w:pPr>
        <w:pStyle w:val="Heading3"/>
      </w:pPr>
      <w:r>
        <w:br w:type="page"/>
      </w:r>
    </w:p>
    <w:p w14:paraId="5B75B63F" w14:textId="77777777" w:rsidR="000F64BB" w:rsidRDefault="000F64BB" w:rsidP="00850E53">
      <w:pPr>
        <w:pStyle w:val="Heading3"/>
      </w:pPr>
      <w:r>
        <w:lastRenderedPageBreak/>
        <w:t>What is your district’s definition of effective teaching?</w:t>
      </w:r>
    </w:p>
    <w:p w14:paraId="4DDD7F5B" w14:textId="77777777" w:rsidR="000F64BB" w:rsidRDefault="000F64BB" w:rsidP="001A0C59">
      <w:pPr>
        <w:pStyle w:val="BodyTextposthead"/>
      </w:pPr>
      <w:r w:rsidRPr="0088272F">
        <w:t>In the field</w:t>
      </w:r>
      <w:r>
        <w:t>s</w:t>
      </w:r>
      <w:r w:rsidRPr="0088272F">
        <w:t xml:space="preserve"> below, record the definition</w:t>
      </w:r>
      <w:r>
        <w:t>s</w:t>
      </w:r>
      <w:r w:rsidRPr="0088272F">
        <w:t xml:space="preserve"> of effective teach</w:t>
      </w:r>
      <w:r>
        <w:t>ing</w:t>
      </w:r>
      <w:r w:rsidRPr="0088272F">
        <w:t xml:space="preserve"> </w:t>
      </w:r>
      <w:r>
        <w:t xml:space="preserve">according to the three categories included in the </w:t>
      </w:r>
      <w:r w:rsidR="00EC60BF">
        <w:t>t</w:t>
      </w:r>
      <w:r>
        <w:t>able. Provide a description of your rationale for these three definition</w:t>
      </w:r>
      <w:r w:rsidR="00EC60BF">
        <w:t>s</w:t>
      </w:r>
      <w:r>
        <w:t>.</w:t>
      </w:r>
    </w:p>
    <w:p w14:paraId="456B9230" w14:textId="77777777" w:rsidR="000F64BB" w:rsidRDefault="000F64BB" w:rsidP="001A0C59">
      <w:pPr>
        <w:pStyle w:val="TableTitle"/>
      </w:pPr>
      <w:r>
        <w:t xml:space="preserve">Our District’s Definition of Effective Teaching: </w:t>
      </w:r>
    </w:p>
    <w:tbl>
      <w:tblPr>
        <w:tblStyle w:val="TexasToolkittable1"/>
        <w:tblW w:w="0" w:type="auto"/>
        <w:tblLook w:val="0620" w:firstRow="1" w:lastRow="0" w:firstColumn="0" w:lastColumn="0" w:noHBand="1" w:noVBand="1"/>
      </w:tblPr>
      <w:tblGrid>
        <w:gridCol w:w="3116"/>
        <w:gridCol w:w="3117"/>
        <w:gridCol w:w="3117"/>
      </w:tblGrid>
      <w:tr w:rsidR="001A0C59" w14:paraId="5D4D6EF2" w14:textId="77777777" w:rsidTr="003F7F1D">
        <w:trPr>
          <w:cnfStyle w:val="100000000000" w:firstRow="1" w:lastRow="0" w:firstColumn="0" w:lastColumn="0" w:oddVBand="0" w:evenVBand="0" w:oddHBand="0" w:evenHBand="0" w:firstRowFirstColumn="0" w:firstRowLastColumn="0" w:lastRowFirstColumn="0" w:lastRowLastColumn="0"/>
          <w:trHeight w:val="305"/>
        </w:trPr>
        <w:tc>
          <w:tcPr>
            <w:tcW w:w="3116" w:type="dxa"/>
          </w:tcPr>
          <w:p w14:paraId="4AD403E5" w14:textId="77777777" w:rsidR="001A0C59" w:rsidRPr="00C874BB" w:rsidRDefault="001A0C59" w:rsidP="003F7F1D">
            <w:pPr>
              <w:pStyle w:val="TableColumnHeadingCenter"/>
            </w:pPr>
            <w:r w:rsidRPr="00C874BB">
              <w:t>Teaching Performance</w:t>
            </w:r>
          </w:p>
        </w:tc>
        <w:tc>
          <w:tcPr>
            <w:tcW w:w="3117" w:type="dxa"/>
          </w:tcPr>
          <w:p w14:paraId="42A63478" w14:textId="77777777" w:rsidR="001A0C59" w:rsidRPr="00C874BB" w:rsidRDefault="001A0C59" w:rsidP="003F7F1D">
            <w:pPr>
              <w:pStyle w:val="TableColumnHeadingCenter"/>
            </w:pPr>
            <w:r w:rsidRPr="00C874BB">
              <w:t>Student Learning</w:t>
            </w:r>
          </w:p>
        </w:tc>
        <w:tc>
          <w:tcPr>
            <w:tcW w:w="3117" w:type="dxa"/>
          </w:tcPr>
          <w:p w14:paraId="7D37B5FC" w14:textId="77777777" w:rsidR="001A0C59" w:rsidRPr="00C874BB" w:rsidRDefault="001A0C59" w:rsidP="003F7F1D">
            <w:pPr>
              <w:pStyle w:val="TableColumnHeadingCenter"/>
            </w:pPr>
            <w:r w:rsidRPr="00C874BB">
              <w:t>Student Engagement</w:t>
            </w:r>
          </w:p>
        </w:tc>
      </w:tr>
      <w:tr w:rsidR="001A0C59" w14:paraId="6C37DECF" w14:textId="77777777" w:rsidTr="003F7F1D">
        <w:trPr>
          <w:trHeight w:val="503"/>
        </w:trPr>
        <w:tc>
          <w:tcPr>
            <w:tcW w:w="3116" w:type="dxa"/>
            <w:shd w:val="clear" w:color="auto" w:fill="CEE3F5" w:themeFill="accent1" w:themeFillTint="66"/>
          </w:tcPr>
          <w:p w14:paraId="7EA6110D" w14:textId="77777777" w:rsidR="001A0C59" w:rsidRPr="00FB4129" w:rsidRDefault="001A0C59" w:rsidP="003F7F1D">
            <w:pPr>
              <w:pStyle w:val="TableTextMediumItalic"/>
            </w:pPr>
            <w:r w:rsidRPr="00FB4129">
              <w:t>Selected data to measure teaching performance:</w:t>
            </w:r>
          </w:p>
        </w:tc>
        <w:tc>
          <w:tcPr>
            <w:tcW w:w="3117" w:type="dxa"/>
            <w:shd w:val="clear" w:color="auto" w:fill="CEE3F5" w:themeFill="accent1" w:themeFillTint="66"/>
          </w:tcPr>
          <w:p w14:paraId="43E92971" w14:textId="77777777" w:rsidR="001A0C59" w:rsidRPr="00FB4129" w:rsidRDefault="001A0C59" w:rsidP="003F7F1D">
            <w:pPr>
              <w:pStyle w:val="TableTextMediumItalic"/>
            </w:pPr>
            <w:r w:rsidRPr="00FB4129">
              <w:t xml:space="preserve">Selected data to measure </w:t>
            </w:r>
            <w:r>
              <w:t>student learning</w:t>
            </w:r>
          </w:p>
        </w:tc>
        <w:tc>
          <w:tcPr>
            <w:tcW w:w="3117" w:type="dxa"/>
            <w:shd w:val="clear" w:color="auto" w:fill="CEE3F5" w:themeFill="accent1" w:themeFillTint="66"/>
          </w:tcPr>
          <w:p w14:paraId="62E7A87E" w14:textId="77777777" w:rsidR="001A0C59" w:rsidRPr="00FB4129" w:rsidRDefault="001A0C59" w:rsidP="003F7F1D">
            <w:pPr>
              <w:pStyle w:val="TableTextMediumItalic"/>
            </w:pPr>
            <w:r w:rsidRPr="00FB4129">
              <w:t xml:space="preserve">Selected data to measure </w:t>
            </w:r>
            <w:r>
              <w:t>student engagement</w:t>
            </w:r>
            <w:r w:rsidRPr="00FB4129">
              <w:t>:</w:t>
            </w:r>
          </w:p>
        </w:tc>
      </w:tr>
      <w:tr w:rsidR="001A0C59" w14:paraId="3806F9B6" w14:textId="77777777" w:rsidTr="003F7F1D">
        <w:trPr>
          <w:trHeight w:val="1008"/>
        </w:trPr>
        <w:tc>
          <w:tcPr>
            <w:tcW w:w="3116" w:type="dxa"/>
          </w:tcPr>
          <w:p w14:paraId="366BA0C3" w14:textId="77777777" w:rsidR="001A0C59" w:rsidRPr="00FB4129" w:rsidRDefault="001A0C59" w:rsidP="003F7F1D">
            <w:pPr>
              <w:pStyle w:val="TableText"/>
            </w:pPr>
          </w:p>
        </w:tc>
        <w:tc>
          <w:tcPr>
            <w:tcW w:w="3117" w:type="dxa"/>
          </w:tcPr>
          <w:p w14:paraId="5A033287" w14:textId="77777777" w:rsidR="001A0C59" w:rsidRPr="00FB4129" w:rsidRDefault="001A0C59" w:rsidP="003F7F1D">
            <w:pPr>
              <w:pStyle w:val="TableText"/>
            </w:pPr>
          </w:p>
        </w:tc>
        <w:tc>
          <w:tcPr>
            <w:tcW w:w="3117" w:type="dxa"/>
          </w:tcPr>
          <w:p w14:paraId="47B64F24" w14:textId="77777777" w:rsidR="001A0C59" w:rsidRPr="00FB4129" w:rsidRDefault="001A0C59" w:rsidP="003F7F1D">
            <w:pPr>
              <w:pStyle w:val="TableText"/>
            </w:pPr>
          </w:p>
        </w:tc>
      </w:tr>
      <w:tr w:rsidR="001A0C59" w14:paraId="158FBACD" w14:textId="77777777" w:rsidTr="003F7F1D">
        <w:trPr>
          <w:trHeight w:val="503"/>
        </w:trPr>
        <w:tc>
          <w:tcPr>
            <w:tcW w:w="3116" w:type="dxa"/>
            <w:shd w:val="clear" w:color="auto" w:fill="CEE3F5" w:themeFill="accent1" w:themeFillTint="66"/>
          </w:tcPr>
          <w:p w14:paraId="7EA68897" w14:textId="77777777" w:rsidR="001A0C59" w:rsidRPr="00FB4129" w:rsidRDefault="001A0C59" w:rsidP="003F7F1D">
            <w:pPr>
              <w:pStyle w:val="TableTextMediumItalic"/>
            </w:pPr>
            <w:r w:rsidRPr="00FB4129">
              <w:t>Definition of effective teaching using these data</w:t>
            </w:r>
          </w:p>
        </w:tc>
        <w:tc>
          <w:tcPr>
            <w:tcW w:w="3117" w:type="dxa"/>
            <w:shd w:val="clear" w:color="auto" w:fill="CEE3F5" w:themeFill="accent1" w:themeFillTint="66"/>
          </w:tcPr>
          <w:p w14:paraId="55D30203" w14:textId="77777777" w:rsidR="001A0C59" w:rsidRPr="00FB4129" w:rsidRDefault="001A0C59" w:rsidP="003F7F1D">
            <w:pPr>
              <w:pStyle w:val="TableTextMediumItalic"/>
            </w:pPr>
            <w:r w:rsidRPr="00FB4129">
              <w:t>Definition of effective teaching using these data</w:t>
            </w:r>
          </w:p>
        </w:tc>
        <w:tc>
          <w:tcPr>
            <w:tcW w:w="3117" w:type="dxa"/>
            <w:shd w:val="clear" w:color="auto" w:fill="CEE3F5" w:themeFill="accent1" w:themeFillTint="66"/>
          </w:tcPr>
          <w:p w14:paraId="1B01225B" w14:textId="77777777" w:rsidR="001A0C59" w:rsidRPr="00FB4129" w:rsidRDefault="001A0C59" w:rsidP="003F7F1D">
            <w:pPr>
              <w:pStyle w:val="TableTextMediumItalic"/>
            </w:pPr>
            <w:r w:rsidRPr="00FB4129">
              <w:t>Definition of effective teaching using these data</w:t>
            </w:r>
          </w:p>
        </w:tc>
      </w:tr>
      <w:tr w:rsidR="001A0C59" w14:paraId="445DCF19" w14:textId="77777777" w:rsidTr="003F7F1D">
        <w:trPr>
          <w:trHeight w:val="1872"/>
        </w:trPr>
        <w:tc>
          <w:tcPr>
            <w:tcW w:w="3116" w:type="dxa"/>
          </w:tcPr>
          <w:p w14:paraId="45FE17B9" w14:textId="77777777" w:rsidR="001A0C59" w:rsidRPr="00FB4129" w:rsidRDefault="001A0C59" w:rsidP="003F7F1D">
            <w:pPr>
              <w:pStyle w:val="TableText"/>
            </w:pPr>
          </w:p>
        </w:tc>
        <w:tc>
          <w:tcPr>
            <w:tcW w:w="3117" w:type="dxa"/>
          </w:tcPr>
          <w:p w14:paraId="3FE0F876" w14:textId="77777777" w:rsidR="001A0C59" w:rsidRPr="00FB4129" w:rsidRDefault="001A0C59" w:rsidP="003F7F1D">
            <w:pPr>
              <w:pStyle w:val="TableText"/>
            </w:pPr>
          </w:p>
        </w:tc>
        <w:tc>
          <w:tcPr>
            <w:tcW w:w="3117" w:type="dxa"/>
          </w:tcPr>
          <w:p w14:paraId="34A8A20E" w14:textId="77777777" w:rsidR="001A0C59" w:rsidRPr="00CB0FCC" w:rsidRDefault="001A0C59" w:rsidP="003F7F1D">
            <w:pPr>
              <w:pStyle w:val="TableText"/>
            </w:pPr>
          </w:p>
        </w:tc>
      </w:tr>
    </w:tbl>
    <w:p w14:paraId="5DDECE04" w14:textId="77777777" w:rsidR="000F64BB" w:rsidRDefault="000F64BB" w:rsidP="001A0C59">
      <w:pPr>
        <w:pStyle w:val="BodyText"/>
        <w:spacing w:after="120"/>
      </w:pPr>
      <w:r>
        <w:t>After examining the equity gaps in your district related to student access to effective teaching, what are your conclusions?</w:t>
      </w:r>
    </w:p>
    <w:tbl>
      <w:tblPr>
        <w:tblStyle w:val="TexasToolkittable1"/>
        <w:tblW w:w="0" w:type="auto"/>
        <w:tblLook w:val="0600" w:firstRow="0" w:lastRow="0" w:firstColumn="0" w:lastColumn="0" w:noHBand="1" w:noVBand="1"/>
      </w:tblPr>
      <w:tblGrid>
        <w:gridCol w:w="9350"/>
      </w:tblGrid>
      <w:tr w:rsidR="000F64BB" w14:paraId="57177A1C" w14:textId="77777777" w:rsidTr="001A0C59">
        <w:trPr>
          <w:trHeight w:val="4787"/>
        </w:trPr>
        <w:tc>
          <w:tcPr>
            <w:tcW w:w="9350" w:type="dxa"/>
          </w:tcPr>
          <w:p w14:paraId="47926AC9" w14:textId="77777777" w:rsidR="000F64BB" w:rsidRDefault="000F64BB" w:rsidP="00850E53"/>
        </w:tc>
      </w:tr>
    </w:tbl>
    <w:p w14:paraId="345C4CB4" w14:textId="77777777" w:rsidR="000F64BB" w:rsidRPr="00FA2BEE" w:rsidRDefault="000F64BB" w:rsidP="00850E53">
      <w:r>
        <w:br w:type="page"/>
      </w:r>
    </w:p>
    <w:p w14:paraId="53F75FDE" w14:textId="37A62440" w:rsidR="000F64BB" w:rsidRPr="001A0C59" w:rsidRDefault="001A0C59" w:rsidP="001A0C59">
      <w:pPr>
        <w:pStyle w:val="Heading1"/>
      </w:pPr>
      <w:r>
        <w:rPr>
          <w:noProof/>
        </w:rPr>
        <w:lastRenderedPageBreak/>
        <w:drawing>
          <wp:anchor distT="0" distB="0" distL="114300" distR="114300" simplePos="0" relativeHeight="251702272" behindDoc="1" locked="0" layoutInCell="1" allowOverlap="1" wp14:anchorId="21E2EDC9" wp14:editId="23F928F9">
            <wp:simplePos x="0" y="0"/>
            <wp:positionH relativeFrom="column">
              <wp:posOffset>3175</wp:posOffset>
            </wp:positionH>
            <wp:positionV relativeFrom="paragraph">
              <wp:posOffset>55245</wp:posOffset>
            </wp:positionV>
            <wp:extent cx="1687830" cy="908685"/>
            <wp:effectExtent l="0" t="0" r="7620" b="5715"/>
            <wp:wrapTight wrapText="bothSides">
              <wp:wrapPolygon edited="0">
                <wp:start x="0" y="0"/>
                <wp:lineTo x="0" y="21283"/>
                <wp:lineTo x="21454" y="21283"/>
                <wp:lineTo x="21454" y="0"/>
                <wp:lineTo x="0" y="0"/>
              </wp:wrapPolygon>
            </wp:wrapTight>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87830" cy="908685"/>
                    </a:xfrm>
                    <a:prstGeom prst="rect">
                      <a:avLst/>
                    </a:prstGeom>
                    <a:noFill/>
                  </pic:spPr>
                </pic:pic>
              </a:graphicData>
            </a:graphic>
            <wp14:sizeRelH relativeFrom="margin">
              <wp14:pctWidth>0</wp14:pctWidth>
            </wp14:sizeRelH>
          </wp:anchor>
        </w:drawing>
      </w:r>
      <w:r w:rsidR="000F64BB" w:rsidRPr="001A0C59">
        <w:t>Results of Step 3</w:t>
      </w:r>
      <w:r>
        <w:t xml:space="preserve">. </w:t>
      </w:r>
      <w:r w:rsidR="008954ED">
        <w:t>Conducting a Root Cause Analysis</w:t>
      </w:r>
    </w:p>
    <w:p w14:paraId="5425B69E" w14:textId="3E9FF3AD" w:rsidR="000F64BB" w:rsidRDefault="000F64BB" w:rsidP="001A0C59">
      <w:pPr>
        <w:pStyle w:val="BodyTextposthead"/>
        <w:spacing w:after="120"/>
      </w:pPr>
      <w:r>
        <w:t>For this next set of items, please refer to the “</w:t>
      </w:r>
      <w:r w:rsidRPr="004631CD">
        <w:t xml:space="preserve">Putting </w:t>
      </w:r>
      <w:r w:rsidR="00146B50">
        <w:t>I</w:t>
      </w:r>
      <w:r w:rsidRPr="004631CD">
        <w:t xml:space="preserve">t All Together: Incorporating </w:t>
      </w:r>
      <w:r w:rsidR="008954ED">
        <w:t xml:space="preserve">Your </w:t>
      </w:r>
      <w:r w:rsidR="008954ED" w:rsidRPr="008954ED">
        <w:t>Conducting a Root Cause Analysis</w:t>
      </w:r>
      <w:r w:rsidR="008954ED">
        <w:t xml:space="preserve"> </w:t>
      </w:r>
      <w:r w:rsidR="00376217">
        <w:t>E</w:t>
      </w:r>
      <w:r w:rsidR="008954ED">
        <w:t xml:space="preserve">fforts </w:t>
      </w:r>
      <w:r w:rsidR="00145ED2" w:rsidRPr="004631CD">
        <w:t xml:space="preserve">Into Your </w:t>
      </w:r>
      <w:r w:rsidRPr="004631CD">
        <w:t>Roadmap Reporting Template</w:t>
      </w:r>
      <w:r>
        <w:t xml:space="preserve">” section of your </w:t>
      </w:r>
      <w:r w:rsidR="008954ED">
        <w:t>RCA</w:t>
      </w:r>
      <w:r>
        <w:t xml:space="preserve"> tool and transfer the information to the </w:t>
      </w:r>
      <w:r w:rsidR="00146B50">
        <w:t xml:space="preserve">following </w:t>
      </w:r>
      <w:r>
        <w:t>space</w:t>
      </w:r>
      <w:r w:rsidR="00145ED2">
        <w:t>s</w:t>
      </w:r>
      <w:r>
        <w:t>.</w:t>
      </w:r>
    </w:p>
    <w:tbl>
      <w:tblPr>
        <w:tblStyle w:val="TexasToolkittable1"/>
        <w:tblW w:w="0" w:type="auto"/>
        <w:tblCellMar>
          <w:left w:w="58" w:type="dxa"/>
          <w:right w:w="58" w:type="dxa"/>
        </w:tblCellMar>
        <w:tblLook w:val="0600" w:firstRow="0" w:lastRow="0" w:firstColumn="0" w:lastColumn="0" w:noHBand="1" w:noVBand="1"/>
      </w:tblPr>
      <w:tblGrid>
        <w:gridCol w:w="3116"/>
        <w:gridCol w:w="3117"/>
        <w:gridCol w:w="3117"/>
      </w:tblGrid>
      <w:tr w:rsidR="001A0C59" w14:paraId="166D4630" w14:textId="77777777" w:rsidTr="003F7F1D">
        <w:trPr>
          <w:trHeight w:val="279"/>
        </w:trPr>
        <w:tc>
          <w:tcPr>
            <w:tcW w:w="9350" w:type="dxa"/>
            <w:gridSpan w:val="3"/>
            <w:shd w:val="clear" w:color="auto" w:fill="CEE3F5" w:themeFill="accent1" w:themeFillTint="66"/>
          </w:tcPr>
          <w:p w14:paraId="45DBA59D" w14:textId="1DB92D2D" w:rsidR="001A0C59" w:rsidRPr="0070594A" w:rsidRDefault="00F11B74" w:rsidP="003F7F1D">
            <w:pPr>
              <w:pStyle w:val="TableSubheading"/>
            </w:pPr>
            <w:r>
              <w:t xml:space="preserve">Problem </w:t>
            </w:r>
            <w:r w:rsidR="001A0C59">
              <w:t xml:space="preserve">Statement: </w:t>
            </w:r>
          </w:p>
        </w:tc>
      </w:tr>
      <w:tr w:rsidR="001A0C59" w14:paraId="6A53AECE" w14:textId="77777777" w:rsidTr="003F7F1D">
        <w:trPr>
          <w:trHeight w:val="548"/>
        </w:trPr>
        <w:tc>
          <w:tcPr>
            <w:tcW w:w="9350" w:type="dxa"/>
            <w:gridSpan w:val="3"/>
          </w:tcPr>
          <w:p w14:paraId="792A6438" w14:textId="77777777" w:rsidR="001A0C59" w:rsidRDefault="001A0C59" w:rsidP="003F7F1D">
            <w:pPr>
              <w:pStyle w:val="TableSubheading"/>
            </w:pPr>
          </w:p>
        </w:tc>
      </w:tr>
      <w:tr w:rsidR="001A0C59" w14:paraId="3B0D3F3B" w14:textId="77777777" w:rsidTr="003F7F1D">
        <w:tc>
          <w:tcPr>
            <w:tcW w:w="3116" w:type="dxa"/>
            <w:shd w:val="clear" w:color="auto" w:fill="E6F1FA" w:themeFill="accent1" w:themeFillTint="33"/>
          </w:tcPr>
          <w:p w14:paraId="2765F56C" w14:textId="77777777" w:rsidR="001A0C59" w:rsidRDefault="001A0C59" w:rsidP="00B85362">
            <w:pPr>
              <w:pStyle w:val="TableSubheading"/>
            </w:pPr>
            <w:r w:rsidRPr="001A0C59">
              <w:t xml:space="preserve">Root </w:t>
            </w:r>
            <w:r w:rsidR="00B85362">
              <w:t>Causes</w:t>
            </w:r>
            <w:r w:rsidRPr="001A0C59">
              <w:t xml:space="preserve"> </w:t>
            </w:r>
            <w:r w:rsidR="00145ED2">
              <w:t>a</w:t>
            </w:r>
            <w:r w:rsidR="00145ED2" w:rsidRPr="001A0C59">
              <w:t xml:space="preserve">s </w:t>
            </w:r>
            <w:r w:rsidR="00145ED2">
              <w:t>They</w:t>
            </w:r>
            <w:r w:rsidR="00145ED2" w:rsidRPr="001A0C59">
              <w:t xml:space="preserve"> </w:t>
            </w:r>
            <w:r w:rsidRPr="001A0C59">
              <w:t>Relate to ATTRACTING Excellent Teachers</w:t>
            </w:r>
          </w:p>
        </w:tc>
        <w:tc>
          <w:tcPr>
            <w:tcW w:w="3117" w:type="dxa"/>
            <w:shd w:val="clear" w:color="auto" w:fill="E6F1FA" w:themeFill="accent1" w:themeFillTint="33"/>
          </w:tcPr>
          <w:p w14:paraId="0D84E8E2" w14:textId="77777777" w:rsidR="001A0C59" w:rsidRPr="006702A1" w:rsidRDefault="001A0C59" w:rsidP="00B85362">
            <w:pPr>
              <w:pStyle w:val="TableSubheading"/>
              <w:rPr>
                <w:spacing w:val="-4"/>
              </w:rPr>
            </w:pPr>
            <w:r w:rsidRPr="001A0C59">
              <w:rPr>
                <w:spacing w:val="-4"/>
              </w:rPr>
              <w:t xml:space="preserve">Root </w:t>
            </w:r>
            <w:r w:rsidR="00B85362">
              <w:rPr>
                <w:spacing w:val="-4"/>
              </w:rPr>
              <w:t>Causes</w:t>
            </w:r>
            <w:r w:rsidRPr="001A0C59">
              <w:rPr>
                <w:spacing w:val="-4"/>
              </w:rPr>
              <w:t xml:space="preserve"> </w:t>
            </w:r>
            <w:r w:rsidR="00145ED2">
              <w:rPr>
                <w:spacing w:val="-4"/>
              </w:rPr>
              <w:t>as They</w:t>
            </w:r>
            <w:r w:rsidRPr="001A0C59">
              <w:rPr>
                <w:spacing w:val="-4"/>
              </w:rPr>
              <w:t xml:space="preserve"> Relate to SUPPORTING Excellent Teachers</w:t>
            </w:r>
          </w:p>
        </w:tc>
        <w:tc>
          <w:tcPr>
            <w:tcW w:w="3117" w:type="dxa"/>
            <w:shd w:val="clear" w:color="auto" w:fill="E6F1FA" w:themeFill="accent1" w:themeFillTint="33"/>
          </w:tcPr>
          <w:p w14:paraId="3EE6E5DE" w14:textId="77777777" w:rsidR="001A0C59" w:rsidRPr="006702A1" w:rsidRDefault="00A10F25" w:rsidP="00B85362">
            <w:pPr>
              <w:pStyle w:val="TableSubheading"/>
              <w:rPr>
                <w:spacing w:val="-4"/>
              </w:rPr>
            </w:pPr>
            <w:r w:rsidRPr="00A10F25">
              <w:rPr>
                <w:spacing w:val="-4"/>
              </w:rPr>
              <w:t xml:space="preserve">Root </w:t>
            </w:r>
            <w:r w:rsidR="00B85362">
              <w:rPr>
                <w:spacing w:val="-4"/>
              </w:rPr>
              <w:t>Causes</w:t>
            </w:r>
            <w:r w:rsidRPr="00A10F25">
              <w:rPr>
                <w:spacing w:val="-4"/>
              </w:rPr>
              <w:t xml:space="preserve"> </w:t>
            </w:r>
            <w:r w:rsidR="00145ED2">
              <w:rPr>
                <w:spacing w:val="-4"/>
              </w:rPr>
              <w:t>as They</w:t>
            </w:r>
            <w:r w:rsidRPr="00A10F25">
              <w:rPr>
                <w:spacing w:val="-4"/>
              </w:rPr>
              <w:t xml:space="preserve"> Relate to RETAINING Excellent Teachers</w:t>
            </w:r>
          </w:p>
        </w:tc>
      </w:tr>
      <w:tr w:rsidR="001A0C59" w14:paraId="78F6EFAC" w14:textId="77777777" w:rsidTr="003F7F1D">
        <w:trPr>
          <w:trHeight w:val="864"/>
        </w:trPr>
        <w:tc>
          <w:tcPr>
            <w:tcW w:w="3116" w:type="dxa"/>
          </w:tcPr>
          <w:p w14:paraId="063F7C26" w14:textId="77777777" w:rsidR="001A0C59" w:rsidRPr="002E423B" w:rsidRDefault="001A0C59" w:rsidP="003F7F1D">
            <w:pPr>
              <w:pStyle w:val="TableSubheading"/>
            </w:pPr>
          </w:p>
        </w:tc>
        <w:tc>
          <w:tcPr>
            <w:tcW w:w="3117" w:type="dxa"/>
          </w:tcPr>
          <w:p w14:paraId="4C8A7CBE" w14:textId="77777777" w:rsidR="001A0C59" w:rsidRPr="002E423B" w:rsidRDefault="001A0C59" w:rsidP="003F7F1D">
            <w:pPr>
              <w:pStyle w:val="TableSubheading"/>
            </w:pPr>
          </w:p>
        </w:tc>
        <w:tc>
          <w:tcPr>
            <w:tcW w:w="3117" w:type="dxa"/>
          </w:tcPr>
          <w:p w14:paraId="77E0750A" w14:textId="77777777" w:rsidR="001A0C59" w:rsidRPr="002E423B" w:rsidRDefault="001A0C59" w:rsidP="003F7F1D">
            <w:pPr>
              <w:pStyle w:val="TableSubheading"/>
            </w:pPr>
          </w:p>
        </w:tc>
      </w:tr>
      <w:tr w:rsidR="001A0C59" w14:paraId="60107A34" w14:textId="77777777" w:rsidTr="003F7F1D">
        <w:trPr>
          <w:trHeight w:val="864"/>
        </w:trPr>
        <w:tc>
          <w:tcPr>
            <w:tcW w:w="3116" w:type="dxa"/>
          </w:tcPr>
          <w:p w14:paraId="3455A12E" w14:textId="77777777" w:rsidR="001A0C59" w:rsidRPr="002E423B" w:rsidRDefault="001A0C59" w:rsidP="003F7F1D">
            <w:pPr>
              <w:pStyle w:val="TableSubheading"/>
            </w:pPr>
          </w:p>
        </w:tc>
        <w:tc>
          <w:tcPr>
            <w:tcW w:w="3117" w:type="dxa"/>
          </w:tcPr>
          <w:p w14:paraId="541539C0" w14:textId="77777777" w:rsidR="001A0C59" w:rsidRPr="002E423B" w:rsidRDefault="001A0C59" w:rsidP="003F7F1D">
            <w:pPr>
              <w:pStyle w:val="TableSubheading"/>
            </w:pPr>
          </w:p>
        </w:tc>
        <w:tc>
          <w:tcPr>
            <w:tcW w:w="3117" w:type="dxa"/>
          </w:tcPr>
          <w:p w14:paraId="4D5564FF" w14:textId="77777777" w:rsidR="001A0C59" w:rsidRPr="002E423B" w:rsidRDefault="001A0C59" w:rsidP="003F7F1D">
            <w:pPr>
              <w:pStyle w:val="TableSubheading"/>
            </w:pPr>
          </w:p>
        </w:tc>
      </w:tr>
      <w:tr w:rsidR="001A0C59" w14:paraId="649A452D" w14:textId="77777777" w:rsidTr="003F7F1D">
        <w:trPr>
          <w:trHeight w:val="864"/>
        </w:trPr>
        <w:tc>
          <w:tcPr>
            <w:tcW w:w="3116" w:type="dxa"/>
          </w:tcPr>
          <w:p w14:paraId="732D087C" w14:textId="77777777" w:rsidR="001A0C59" w:rsidRPr="002E423B" w:rsidRDefault="001A0C59" w:rsidP="003F7F1D">
            <w:pPr>
              <w:pStyle w:val="TableSubheading"/>
            </w:pPr>
          </w:p>
        </w:tc>
        <w:tc>
          <w:tcPr>
            <w:tcW w:w="3117" w:type="dxa"/>
          </w:tcPr>
          <w:p w14:paraId="21AB76F5" w14:textId="77777777" w:rsidR="001A0C59" w:rsidRPr="002E423B" w:rsidRDefault="001A0C59" w:rsidP="003F7F1D">
            <w:pPr>
              <w:pStyle w:val="TableSubheading"/>
            </w:pPr>
          </w:p>
        </w:tc>
        <w:tc>
          <w:tcPr>
            <w:tcW w:w="3117" w:type="dxa"/>
          </w:tcPr>
          <w:p w14:paraId="49FF5CDC" w14:textId="77777777" w:rsidR="001A0C59" w:rsidRPr="002E423B" w:rsidRDefault="001A0C59" w:rsidP="003F7F1D">
            <w:pPr>
              <w:pStyle w:val="TableSubheading"/>
            </w:pPr>
          </w:p>
        </w:tc>
      </w:tr>
    </w:tbl>
    <w:p w14:paraId="0D5CC6B6" w14:textId="77777777" w:rsidR="001A0C59" w:rsidRDefault="001A0C59" w:rsidP="001A0C59">
      <w:pPr>
        <w:pStyle w:val="BodyTextposthead"/>
        <w:spacing w:after="120"/>
      </w:pPr>
    </w:p>
    <w:p w14:paraId="3B3FF528" w14:textId="77777777" w:rsidR="000F64BB" w:rsidRDefault="000F64BB" w:rsidP="00850E53">
      <w:pPr>
        <w:pStyle w:val="Heading1"/>
        <w:rPr>
          <w:b/>
        </w:rPr>
        <w:sectPr w:rsidR="000F64BB" w:rsidSect="003F7FE3">
          <w:headerReference w:type="even" r:id="rId12"/>
          <w:footerReference w:type="even" r:id="rId13"/>
          <w:footerReference w:type="default" r:id="rId14"/>
          <w:headerReference w:type="first" r:id="rId15"/>
          <w:footerReference w:type="first" r:id="rId16"/>
          <w:pgSz w:w="12240" w:h="15840"/>
          <w:pgMar w:top="1440" w:right="1440" w:bottom="1440" w:left="1440" w:header="720" w:footer="432" w:gutter="0"/>
          <w:cols w:space="720"/>
          <w:titlePg/>
          <w:docGrid w:linePitch="360"/>
        </w:sectPr>
      </w:pPr>
    </w:p>
    <w:p w14:paraId="1FACCC7C" w14:textId="77777777" w:rsidR="000F64BB" w:rsidRPr="00A10F25" w:rsidRDefault="00B272B0" w:rsidP="00A10F25">
      <w:pPr>
        <w:pStyle w:val="Heading1"/>
      </w:pPr>
      <w:r>
        <w:rPr>
          <w:noProof/>
        </w:rPr>
        <w:lastRenderedPageBreak/>
        <w:drawing>
          <wp:anchor distT="0" distB="0" distL="114300" distR="114300" simplePos="0" relativeHeight="251704320" behindDoc="1" locked="0" layoutInCell="1" allowOverlap="1" wp14:anchorId="4F521287" wp14:editId="0A73FF62">
            <wp:simplePos x="0" y="0"/>
            <wp:positionH relativeFrom="column">
              <wp:posOffset>3810</wp:posOffset>
            </wp:positionH>
            <wp:positionV relativeFrom="paragraph">
              <wp:posOffset>134620</wp:posOffset>
            </wp:positionV>
            <wp:extent cx="1681480" cy="908685"/>
            <wp:effectExtent l="0" t="0" r="0" b="5715"/>
            <wp:wrapTight wrapText="bothSides">
              <wp:wrapPolygon edited="0">
                <wp:start x="0" y="0"/>
                <wp:lineTo x="0" y="21283"/>
                <wp:lineTo x="21290" y="21283"/>
                <wp:lineTo x="21290" y="0"/>
                <wp:lineTo x="0" y="0"/>
              </wp:wrapPolygon>
            </wp:wrapTight>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681480" cy="908685"/>
                    </a:xfrm>
                    <a:prstGeom prst="rect">
                      <a:avLst/>
                    </a:prstGeom>
                    <a:noFill/>
                  </pic:spPr>
                </pic:pic>
              </a:graphicData>
            </a:graphic>
            <wp14:sizeRelH relativeFrom="margin">
              <wp14:pctWidth>0</wp14:pctWidth>
            </wp14:sizeRelH>
          </wp:anchor>
        </w:drawing>
      </w:r>
      <w:r w:rsidR="000F64BB" w:rsidRPr="00A10F25">
        <w:t xml:space="preserve">Results of Steps 4 and 5. Selecting Strategies and </w:t>
      </w:r>
      <w:r w:rsidR="0056797B">
        <w:br/>
      </w:r>
      <w:r w:rsidR="000F64BB" w:rsidRPr="00A10F25">
        <w:t>Planning for Implementation</w:t>
      </w:r>
    </w:p>
    <w:p w14:paraId="432D796E" w14:textId="77777777" w:rsidR="000F64BB" w:rsidRDefault="000F64BB" w:rsidP="00A10F25">
      <w:pPr>
        <w:pStyle w:val="BodyTextposthead"/>
      </w:pPr>
      <w:r>
        <w:t xml:space="preserve">For this next set of items, please refer to the </w:t>
      </w:r>
      <w:r w:rsidR="00146B50">
        <w:t>“</w:t>
      </w:r>
      <w:r w:rsidRPr="004631CD">
        <w:t xml:space="preserve">Putting </w:t>
      </w:r>
      <w:r w:rsidR="00146B50">
        <w:t>I</w:t>
      </w:r>
      <w:r w:rsidRPr="004631CD">
        <w:t xml:space="preserve">t All Together: Incorporating Your </w:t>
      </w:r>
      <w:r>
        <w:t>Selecting Strategies</w:t>
      </w:r>
      <w:r w:rsidRPr="004631CD">
        <w:t xml:space="preserve"> Efforts </w:t>
      </w:r>
      <w:r w:rsidR="00146B50" w:rsidRPr="004631CD">
        <w:t xml:space="preserve">Into Your </w:t>
      </w:r>
      <w:r w:rsidRPr="004631CD">
        <w:t>Roadmap Reporting Template</w:t>
      </w:r>
      <w:r>
        <w:t>” section of your Selecting Strategies tool and Planning for Implementation tool.</w:t>
      </w:r>
    </w:p>
    <w:p w14:paraId="42983645" w14:textId="5DC5D700" w:rsidR="000F64BB" w:rsidRDefault="000F64BB" w:rsidP="00A10F25">
      <w:pPr>
        <w:pStyle w:val="BodyText"/>
        <w:spacing w:after="120"/>
        <w:rPr>
          <w:spacing w:val="-2"/>
        </w:rPr>
      </w:pPr>
      <w:r w:rsidRPr="00146B50">
        <w:rPr>
          <w:spacing w:val="-2"/>
        </w:rPr>
        <w:t xml:space="preserve">Complete the </w:t>
      </w:r>
      <w:r w:rsidR="00146B50" w:rsidRPr="00146B50">
        <w:rPr>
          <w:spacing w:val="-2"/>
        </w:rPr>
        <w:t xml:space="preserve">following </w:t>
      </w:r>
      <w:r w:rsidRPr="00146B50">
        <w:rPr>
          <w:spacing w:val="-2"/>
        </w:rPr>
        <w:t>table</w:t>
      </w:r>
      <w:r w:rsidR="00CE1222">
        <w:rPr>
          <w:spacing w:val="-2"/>
        </w:rPr>
        <w:t>s</w:t>
      </w:r>
      <w:r w:rsidRPr="00146B50">
        <w:rPr>
          <w:spacing w:val="-2"/>
        </w:rPr>
        <w:t xml:space="preserve"> by </w:t>
      </w:r>
      <w:r w:rsidR="00CE1222">
        <w:rPr>
          <w:spacing w:val="-2"/>
        </w:rPr>
        <w:t xml:space="preserve">first </w:t>
      </w:r>
      <w:r w:rsidRPr="00146B50">
        <w:rPr>
          <w:spacing w:val="-2"/>
        </w:rPr>
        <w:t xml:space="preserve">listing </w:t>
      </w:r>
      <w:r w:rsidR="00CE1222">
        <w:rPr>
          <w:spacing w:val="-2"/>
        </w:rPr>
        <w:t xml:space="preserve">your district’s long-term outcomes. </w:t>
      </w:r>
      <w:r w:rsidR="00CE1222" w:rsidRPr="00CE1222">
        <w:rPr>
          <w:spacing w:val="-2"/>
        </w:rPr>
        <w:t xml:space="preserve">These </w:t>
      </w:r>
      <w:r w:rsidR="00CE1222" w:rsidRPr="00CE1222">
        <w:t>are your high-level goals</w:t>
      </w:r>
      <w:r w:rsidR="00CE1222">
        <w:t xml:space="preserve"> that should occur</w:t>
      </w:r>
      <w:r w:rsidR="00CE1222" w:rsidRPr="00CE1222">
        <w:t xml:space="preserve"> in the next 2–5 years if your strategies are successful</w:t>
      </w:r>
      <w:r w:rsidR="00CE1222">
        <w:t>.</w:t>
      </w:r>
      <w:r w:rsidR="00CE1222" w:rsidRPr="00CE1222">
        <w:t xml:space="preserve"> </w:t>
      </w:r>
      <w:r w:rsidR="00CE1222">
        <w:t xml:space="preserve">Then, list </w:t>
      </w:r>
      <w:r w:rsidRPr="00CE1222">
        <w:rPr>
          <w:spacing w:val="-2"/>
        </w:rPr>
        <w:t>the</w:t>
      </w:r>
      <w:r w:rsidRPr="00146B50">
        <w:rPr>
          <w:spacing w:val="-2"/>
        </w:rPr>
        <w:t xml:space="preserve"> strategies your district will implement to address the root causes of the equity gaps in your district. </w:t>
      </w:r>
    </w:p>
    <w:tbl>
      <w:tblPr>
        <w:tblStyle w:val="TableGrid"/>
        <w:tblW w:w="0" w:type="auto"/>
        <w:tblLook w:val="04A0" w:firstRow="1" w:lastRow="0" w:firstColumn="1" w:lastColumn="0" w:noHBand="0" w:noVBand="1"/>
      </w:tblPr>
      <w:tblGrid>
        <w:gridCol w:w="9350"/>
      </w:tblGrid>
      <w:tr w:rsidR="00CE1222" w14:paraId="1EF63AE6" w14:textId="77777777" w:rsidTr="00117362">
        <w:trPr>
          <w:trHeight w:val="1853"/>
        </w:trPr>
        <w:tc>
          <w:tcPr>
            <w:tcW w:w="12950" w:type="dxa"/>
          </w:tcPr>
          <w:p w14:paraId="3FAD4883" w14:textId="54274FE9" w:rsidR="00CE1222" w:rsidRDefault="00CE1222" w:rsidP="00A10F25">
            <w:pPr>
              <w:pStyle w:val="BodyText"/>
              <w:spacing w:after="120"/>
              <w:rPr>
                <w:spacing w:val="-2"/>
              </w:rPr>
            </w:pPr>
            <w:r>
              <w:rPr>
                <w:spacing w:val="-2"/>
              </w:rPr>
              <w:t>Long-</w:t>
            </w:r>
            <w:r w:rsidR="009A78CB">
              <w:rPr>
                <w:spacing w:val="-2"/>
              </w:rPr>
              <w:t>T</w:t>
            </w:r>
            <w:r>
              <w:rPr>
                <w:spacing w:val="-2"/>
              </w:rPr>
              <w:t>erm Outcomes (from Step 5):</w:t>
            </w:r>
          </w:p>
          <w:p w14:paraId="615542F2" w14:textId="56F993F0" w:rsidR="00CE1222" w:rsidRDefault="00CE1222" w:rsidP="00117362">
            <w:pPr>
              <w:pStyle w:val="BodyText"/>
              <w:spacing w:after="120"/>
              <w:rPr>
                <w:spacing w:val="-2"/>
              </w:rPr>
            </w:pPr>
          </w:p>
        </w:tc>
      </w:tr>
    </w:tbl>
    <w:p w14:paraId="4E3E63A8" w14:textId="77777777" w:rsidR="00CE1222" w:rsidRPr="00146B50" w:rsidRDefault="00CE1222" w:rsidP="00A10F25">
      <w:pPr>
        <w:pStyle w:val="BodyText"/>
        <w:spacing w:after="120"/>
        <w:rPr>
          <w:spacing w:val="-2"/>
        </w:rPr>
      </w:pPr>
    </w:p>
    <w:tbl>
      <w:tblPr>
        <w:tblStyle w:val="TexasToolkittable1"/>
        <w:tblW w:w="5000" w:type="pct"/>
        <w:tblLook w:val="0620" w:firstRow="1" w:lastRow="0" w:firstColumn="0" w:lastColumn="0" w:noHBand="1" w:noVBand="1"/>
      </w:tblPr>
      <w:tblGrid>
        <w:gridCol w:w="1801"/>
        <w:gridCol w:w="1834"/>
        <w:gridCol w:w="1905"/>
        <w:gridCol w:w="1905"/>
        <w:gridCol w:w="1905"/>
      </w:tblGrid>
      <w:tr w:rsidR="000F64BB" w:rsidRPr="00FF54B4" w:rsidDel="009537D3" w14:paraId="0505EA15" w14:textId="77777777" w:rsidTr="00117362">
        <w:trPr>
          <w:cnfStyle w:val="100000000000" w:firstRow="1" w:lastRow="0" w:firstColumn="0" w:lastColumn="0" w:oddVBand="0" w:evenVBand="0" w:oddHBand="0" w:evenHBand="0" w:firstRowFirstColumn="0" w:firstRowLastColumn="0" w:lastRowFirstColumn="0" w:lastRowLastColumn="0"/>
          <w:tblHeader/>
        </w:trPr>
        <w:tc>
          <w:tcPr>
            <w:tcW w:w="2880" w:type="dxa"/>
            <w:vAlign w:val="center"/>
          </w:tcPr>
          <w:p w14:paraId="6466CF94" w14:textId="77D8DA66" w:rsidR="000F64BB" w:rsidRDefault="000F64BB" w:rsidP="00117362">
            <w:pPr>
              <w:pStyle w:val="TableColumnHeadingCenter"/>
            </w:pPr>
            <w:r w:rsidRPr="005847D9">
              <w:t>Identified Root</w:t>
            </w:r>
            <w:r w:rsidR="00B85362">
              <w:t xml:space="preserve"> Cause</w:t>
            </w:r>
          </w:p>
          <w:p w14:paraId="57364ACA" w14:textId="77777777" w:rsidR="000F64BB" w:rsidRDefault="000F64BB" w:rsidP="00117362">
            <w:pPr>
              <w:pStyle w:val="TableColumnHeadingCenter"/>
            </w:pPr>
            <w:r>
              <w:t xml:space="preserve">(from </w:t>
            </w:r>
            <w:r w:rsidR="00146B50">
              <w:t>S</w:t>
            </w:r>
            <w:r>
              <w:t>tep 3)</w:t>
            </w:r>
          </w:p>
        </w:tc>
        <w:tc>
          <w:tcPr>
            <w:tcW w:w="2880" w:type="dxa"/>
            <w:vAlign w:val="center"/>
          </w:tcPr>
          <w:p w14:paraId="58E0020B" w14:textId="77777777" w:rsidR="000F64BB" w:rsidRPr="00FF54B4" w:rsidRDefault="000F64BB" w:rsidP="00117362">
            <w:pPr>
              <w:pStyle w:val="TableColumnHeadingCenter"/>
            </w:pPr>
            <w:r>
              <w:t>Selected Equity Plan Strategies</w:t>
            </w:r>
          </w:p>
          <w:p w14:paraId="24BB57F5" w14:textId="77777777" w:rsidR="000F64BB" w:rsidRPr="00FF54B4" w:rsidRDefault="000F64BB" w:rsidP="00117362">
            <w:pPr>
              <w:pStyle w:val="TableColumnHeadingCenter"/>
            </w:pPr>
            <w:r w:rsidRPr="00FF54B4">
              <w:t>(</w:t>
            </w:r>
            <w:r>
              <w:t xml:space="preserve">from </w:t>
            </w:r>
            <w:r w:rsidR="00146B50">
              <w:t>S</w:t>
            </w:r>
            <w:r w:rsidRPr="00FF54B4">
              <w:t>tep 4)</w:t>
            </w:r>
          </w:p>
        </w:tc>
        <w:tc>
          <w:tcPr>
            <w:tcW w:w="2880" w:type="dxa"/>
            <w:vAlign w:val="center"/>
          </w:tcPr>
          <w:p w14:paraId="422A246D" w14:textId="77777777" w:rsidR="000F64BB" w:rsidRPr="00FF54B4" w:rsidRDefault="000F64BB" w:rsidP="00117362">
            <w:pPr>
              <w:pStyle w:val="TableColumnHeadingCenter"/>
            </w:pPr>
            <w:r w:rsidRPr="00FF54B4">
              <w:t>Ou</w:t>
            </w:r>
            <w:r>
              <w:t>tputs</w:t>
            </w:r>
          </w:p>
          <w:p w14:paraId="65C43BF1" w14:textId="77777777" w:rsidR="000F64BB" w:rsidRPr="00FF54B4" w:rsidRDefault="000F64BB" w:rsidP="00117362">
            <w:pPr>
              <w:pStyle w:val="TableColumnHeadingCenter"/>
            </w:pPr>
            <w:r w:rsidRPr="00FF54B4">
              <w:t>Benchmark 1</w:t>
            </w:r>
          </w:p>
          <w:p w14:paraId="343C7E4B" w14:textId="77777777" w:rsidR="000F64BB" w:rsidRPr="00FF54B4" w:rsidRDefault="000F64BB" w:rsidP="00117362">
            <w:pPr>
              <w:pStyle w:val="TableColumnHeadingCenter"/>
            </w:pPr>
            <w:r w:rsidRPr="00FF54B4">
              <w:t>(</w:t>
            </w:r>
            <w:r>
              <w:t xml:space="preserve">from </w:t>
            </w:r>
            <w:r w:rsidR="00146B50">
              <w:t>S</w:t>
            </w:r>
            <w:r w:rsidRPr="00FF54B4">
              <w:t>tep 5)</w:t>
            </w:r>
          </w:p>
        </w:tc>
        <w:tc>
          <w:tcPr>
            <w:tcW w:w="2880" w:type="dxa"/>
            <w:vAlign w:val="center"/>
          </w:tcPr>
          <w:p w14:paraId="0FC5D2C0" w14:textId="66A65073" w:rsidR="000F64BB" w:rsidRPr="00FF54B4" w:rsidRDefault="000F64BB" w:rsidP="00117362">
            <w:pPr>
              <w:pStyle w:val="TableColumnHeadingCenter"/>
            </w:pPr>
            <w:r>
              <w:t>Short</w:t>
            </w:r>
            <w:r w:rsidR="00146B50">
              <w:t>-</w:t>
            </w:r>
            <w:r>
              <w:t xml:space="preserve">Term </w:t>
            </w:r>
            <w:r w:rsidRPr="00FF54B4">
              <w:t>Outcome</w:t>
            </w:r>
          </w:p>
          <w:p w14:paraId="3332B883" w14:textId="77777777" w:rsidR="000F64BB" w:rsidRPr="00FF54B4" w:rsidRDefault="000F64BB" w:rsidP="00117362">
            <w:pPr>
              <w:pStyle w:val="TableColumnHeadingCenter"/>
            </w:pPr>
            <w:r w:rsidRPr="00FF54B4">
              <w:t>Benchmark 2</w:t>
            </w:r>
          </w:p>
          <w:p w14:paraId="3BDD4C3D" w14:textId="77777777" w:rsidR="000F64BB" w:rsidRPr="00FF54B4" w:rsidRDefault="000F64BB" w:rsidP="00117362">
            <w:pPr>
              <w:pStyle w:val="TableColumnHeadingCenter"/>
            </w:pPr>
            <w:r w:rsidRPr="00FF54B4">
              <w:t>(</w:t>
            </w:r>
            <w:r>
              <w:t xml:space="preserve">from </w:t>
            </w:r>
            <w:r w:rsidR="00146B50">
              <w:t>S</w:t>
            </w:r>
            <w:r w:rsidRPr="00FF54B4">
              <w:t>tep 5)</w:t>
            </w:r>
          </w:p>
        </w:tc>
        <w:tc>
          <w:tcPr>
            <w:tcW w:w="2880" w:type="dxa"/>
            <w:vAlign w:val="center"/>
          </w:tcPr>
          <w:p w14:paraId="33C2810D" w14:textId="15693F78" w:rsidR="000F64BB" w:rsidRPr="00FF54B4" w:rsidRDefault="000F64BB" w:rsidP="00117362">
            <w:pPr>
              <w:pStyle w:val="TableColumnHeadingCenter"/>
            </w:pPr>
            <w:r>
              <w:t>Mid</w:t>
            </w:r>
            <w:r w:rsidR="00146B50">
              <w:t>-</w:t>
            </w:r>
            <w:r>
              <w:t xml:space="preserve">Term </w:t>
            </w:r>
            <w:r w:rsidRPr="00FF54B4">
              <w:t>Outcome</w:t>
            </w:r>
          </w:p>
          <w:p w14:paraId="47DD8EBD" w14:textId="77777777" w:rsidR="000F64BB" w:rsidRPr="00FF54B4" w:rsidRDefault="000F64BB" w:rsidP="00117362">
            <w:pPr>
              <w:pStyle w:val="TableColumnHeadingCenter"/>
            </w:pPr>
            <w:r w:rsidRPr="00FF54B4">
              <w:t>Benchmark 3</w:t>
            </w:r>
          </w:p>
          <w:p w14:paraId="19B9B949" w14:textId="77777777" w:rsidR="000F64BB" w:rsidRDefault="000F64BB" w:rsidP="00117362">
            <w:pPr>
              <w:pStyle w:val="TableColumnHeadingCenter"/>
            </w:pPr>
            <w:r w:rsidRPr="00FF54B4">
              <w:t>(</w:t>
            </w:r>
            <w:r>
              <w:t xml:space="preserve">from </w:t>
            </w:r>
            <w:r w:rsidR="00146B50">
              <w:t>S</w:t>
            </w:r>
            <w:r w:rsidRPr="00FF54B4">
              <w:t>tep 5)</w:t>
            </w:r>
          </w:p>
        </w:tc>
      </w:tr>
      <w:tr w:rsidR="000F64BB" w14:paraId="78AA8C5D" w14:textId="77777777" w:rsidTr="00A10F25">
        <w:trPr>
          <w:trHeight w:val="864"/>
        </w:trPr>
        <w:tc>
          <w:tcPr>
            <w:tcW w:w="2880" w:type="dxa"/>
          </w:tcPr>
          <w:p w14:paraId="4EF1E2D2" w14:textId="77777777" w:rsidR="000F64BB" w:rsidRPr="00E870B0" w:rsidRDefault="000F64BB" w:rsidP="00850E53"/>
        </w:tc>
        <w:tc>
          <w:tcPr>
            <w:tcW w:w="2880" w:type="dxa"/>
          </w:tcPr>
          <w:p w14:paraId="30977F29" w14:textId="77777777" w:rsidR="000F64BB" w:rsidRPr="00E870B0" w:rsidRDefault="000F64BB" w:rsidP="00850E53"/>
        </w:tc>
        <w:tc>
          <w:tcPr>
            <w:tcW w:w="2880" w:type="dxa"/>
          </w:tcPr>
          <w:p w14:paraId="3EF61ED0" w14:textId="77777777" w:rsidR="000F64BB" w:rsidRDefault="000F64BB" w:rsidP="00850E53"/>
        </w:tc>
        <w:tc>
          <w:tcPr>
            <w:tcW w:w="2880" w:type="dxa"/>
          </w:tcPr>
          <w:p w14:paraId="0308E004" w14:textId="77777777" w:rsidR="000F64BB" w:rsidRDefault="000F64BB" w:rsidP="00850E53"/>
        </w:tc>
        <w:tc>
          <w:tcPr>
            <w:tcW w:w="2880" w:type="dxa"/>
          </w:tcPr>
          <w:p w14:paraId="0686B3C0" w14:textId="77777777" w:rsidR="000F64BB" w:rsidRDefault="000F64BB" w:rsidP="00850E53"/>
        </w:tc>
      </w:tr>
      <w:tr w:rsidR="000F64BB" w14:paraId="43A64174" w14:textId="77777777" w:rsidTr="00A10F25">
        <w:trPr>
          <w:trHeight w:val="864"/>
        </w:trPr>
        <w:tc>
          <w:tcPr>
            <w:tcW w:w="2880" w:type="dxa"/>
          </w:tcPr>
          <w:p w14:paraId="41D7C4C9" w14:textId="77777777" w:rsidR="000F64BB" w:rsidRDefault="000F64BB" w:rsidP="00850E53"/>
        </w:tc>
        <w:tc>
          <w:tcPr>
            <w:tcW w:w="2880" w:type="dxa"/>
          </w:tcPr>
          <w:p w14:paraId="0DA52B10" w14:textId="77777777" w:rsidR="000F64BB" w:rsidRDefault="000F64BB" w:rsidP="00850E53"/>
        </w:tc>
        <w:tc>
          <w:tcPr>
            <w:tcW w:w="2880" w:type="dxa"/>
          </w:tcPr>
          <w:p w14:paraId="1471C8B3" w14:textId="77777777" w:rsidR="000F64BB" w:rsidRDefault="000F64BB" w:rsidP="00850E53"/>
        </w:tc>
        <w:tc>
          <w:tcPr>
            <w:tcW w:w="2880" w:type="dxa"/>
          </w:tcPr>
          <w:p w14:paraId="6C2D443B" w14:textId="77777777" w:rsidR="000F64BB" w:rsidRDefault="000F64BB" w:rsidP="00850E53"/>
        </w:tc>
        <w:tc>
          <w:tcPr>
            <w:tcW w:w="2880" w:type="dxa"/>
          </w:tcPr>
          <w:p w14:paraId="1F9F7708" w14:textId="77777777" w:rsidR="000F64BB" w:rsidRDefault="000F64BB" w:rsidP="00850E53"/>
        </w:tc>
      </w:tr>
      <w:tr w:rsidR="000F64BB" w14:paraId="78C72CEC" w14:textId="77777777" w:rsidTr="00A10F25">
        <w:trPr>
          <w:trHeight w:val="864"/>
        </w:trPr>
        <w:tc>
          <w:tcPr>
            <w:tcW w:w="2880" w:type="dxa"/>
          </w:tcPr>
          <w:p w14:paraId="5C29C6EC" w14:textId="77777777" w:rsidR="000F64BB" w:rsidRDefault="000F64BB" w:rsidP="00850E53"/>
        </w:tc>
        <w:tc>
          <w:tcPr>
            <w:tcW w:w="2880" w:type="dxa"/>
          </w:tcPr>
          <w:p w14:paraId="49C12606" w14:textId="77777777" w:rsidR="000F64BB" w:rsidRDefault="000F64BB" w:rsidP="00850E53"/>
        </w:tc>
        <w:tc>
          <w:tcPr>
            <w:tcW w:w="2880" w:type="dxa"/>
          </w:tcPr>
          <w:p w14:paraId="11DC894D" w14:textId="77777777" w:rsidR="000F64BB" w:rsidRDefault="000F64BB" w:rsidP="00850E53"/>
        </w:tc>
        <w:tc>
          <w:tcPr>
            <w:tcW w:w="2880" w:type="dxa"/>
          </w:tcPr>
          <w:p w14:paraId="548C0FA3" w14:textId="77777777" w:rsidR="000F64BB" w:rsidRDefault="000F64BB" w:rsidP="00850E53"/>
        </w:tc>
        <w:tc>
          <w:tcPr>
            <w:tcW w:w="2880" w:type="dxa"/>
          </w:tcPr>
          <w:p w14:paraId="1C40B0B1" w14:textId="77777777" w:rsidR="000F64BB" w:rsidRDefault="000F64BB" w:rsidP="00850E53"/>
        </w:tc>
      </w:tr>
      <w:tr w:rsidR="000F64BB" w14:paraId="4302532B" w14:textId="77777777" w:rsidTr="00A10F25">
        <w:trPr>
          <w:trHeight w:val="864"/>
        </w:trPr>
        <w:tc>
          <w:tcPr>
            <w:tcW w:w="2880" w:type="dxa"/>
          </w:tcPr>
          <w:p w14:paraId="0C134389" w14:textId="77777777" w:rsidR="000F64BB" w:rsidRDefault="000F64BB" w:rsidP="00850E53"/>
        </w:tc>
        <w:tc>
          <w:tcPr>
            <w:tcW w:w="2880" w:type="dxa"/>
          </w:tcPr>
          <w:p w14:paraId="5A12A487" w14:textId="77777777" w:rsidR="000F64BB" w:rsidRDefault="000F64BB" w:rsidP="00850E53"/>
        </w:tc>
        <w:tc>
          <w:tcPr>
            <w:tcW w:w="2880" w:type="dxa"/>
          </w:tcPr>
          <w:p w14:paraId="183EAD01" w14:textId="77777777" w:rsidR="000F64BB" w:rsidRDefault="000F64BB" w:rsidP="00850E53"/>
        </w:tc>
        <w:tc>
          <w:tcPr>
            <w:tcW w:w="2880" w:type="dxa"/>
          </w:tcPr>
          <w:p w14:paraId="377FD0A9" w14:textId="77777777" w:rsidR="000F64BB" w:rsidRDefault="000F64BB" w:rsidP="00850E53"/>
        </w:tc>
        <w:tc>
          <w:tcPr>
            <w:tcW w:w="2880" w:type="dxa"/>
          </w:tcPr>
          <w:p w14:paraId="3D74C04E" w14:textId="77777777" w:rsidR="000F64BB" w:rsidRDefault="000F64BB" w:rsidP="00850E53"/>
        </w:tc>
      </w:tr>
      <w:tr w:rsidR="000F64BB" w14:paraId="2A6BE954" w14:textId="77777777" w:rsidTr="00A10F25">
        <w:trPr>
          <w:trHeight w:val="864"/>
        </w:trPr>
        <w:tc>
          <w:tcPr>
            <w:tcW w:w="2880" w:type="dxa"/>
          </w:tcPr>
          <w:p w14:paraId="4B3D6280" w14:textId="77777777" w:rsidR="000F64BB" w:rsidRPr="00E870B0" w:rsidRDefault="000F64BB" w:rsidP="00850E53"/>
        </w:tc>
        <w:tc>
          <w:tcPr>
            <w:tcW w:w="2880" w:type="dxa"/>
          </w:tcPr>
          <w:p w14:paraId="0CF8A617" w14:textId="77777777" w:rsidR="000F64BB" w:rsidRPr="00E870B0" w:rsidRDefault="000F64BB" w:rsidP="00850E53"/>
        </w:tc>
        <w:tc>
          <w:tcPr>
            <w:tcW w:w="2880" w:type="dxa"/>
          </w:tcPr>
          <w:p w14:paraId="3A086ED0" w14:textId="77777777" w:rsidR="000F64BB" w:rsidRDefault="000F64BB" w:rsidP="00850E53"/>
        </w:tc>
        <w:tc>
          <w:tcPr>
            <w:tcW w:w="2880" w:type="dxa"/>
          </w:tcPr>
          <w:p w14:paraId="708FECB7" w14:textId="77777777" w:rsidR="000F64BB" w:rsidRDefault="000F64BB" w:rsidP="00850E53"/>
        </w:tc>
        <w:tc>
          <w:tcPr>
            <w:tcW w:w="2880" w:type="dxa"/>
          </w:tcPr>
          <w:p w14:paraId="5C790970" w14:textId="77777777" w:rsidR="000F64BB" w:rsidRDefault="000F64BB" w:rsidP="00850E53"/>
        </w:tc>
      </w:tr>
      <w:tr w:rsidR="000F64BB" w14:paraId="63923801" w14:textId="77777777" w:rsidTr="00A10F25">
        <w:trPr>
          <w:trHeight w:val="864"/>
        </w:trPr>
        <w:tc>
          <w:tcPr>
            <w:tcW w:w="2880" w:type="dxa"/>
          </w:tcPr>
          <w:p w14:paraId="08E2F49D" w14:textId="77777777" w:rsidR="000F64BB" w:rsidRDefault="000F64BB" w:rsidP="00850E53"/>
        </w:tc>
        <w:tc>
          <w:tcPr>
            <w:tcW w:w="2880" w:type="dxa"/>
          </w:tcPr>
          <w:p w14:paraId="05CEEE40" w14:textId="77777777" w:rsidR="000F64BB" w:rsidRDefault="000F64BB" w:rsidP="00850E53"/>
        </w:tc>
        <w:tc>
          <w:tcPr>
            <w:tcW w:w="2880" w:type="dxa"/>
          </w:tcPr>
          <w:p w14:paraId="6E96BE1A" w14:textId="77777777" w:rsidR="000F64BB" w:rsidRDefault="000F64BB" w:rsidP="00850E53"/>
        </w:tc>
        <w:tc>
          <w:tcPr>
            <w:tcW w:w="2880" w:type="dxa"/>
          </w:tcPr>
          <w:p w14:paraId="2807D5C5" w14:textId="77777777" w:rsidR="000F64BB" w:rsidRDefault="000F64BB" w:rsidP="00850E53"/>
        </w:tc>
        <w:tc>
          <w:tcPr>
            <w:tcW w:w="2880" w:type="dxa"/>
          </w:tcPr>
          <w:p w14:paraId="4FA0B6D0" w14:textId="77777777" w:rsidR="000F64BB" w:rsidRDefault="000F64BB" w:rsidP="00850E53"/>
        </w:tc>
      </w:tr>
      <w:tr w:rsidR="000F64BB" w14:paraId="51A9A348" w14:textId="77777777" w:rsidTr="00A10F25">
        <w:trPr>
          <w:trHeight w:val="864"/>
        </w:trPr>
        <w:tc>
          <w:tcPr>
            <w:tcW w:w="2880" w:type="dxa"/>
          </w:tcPr>
          <w:p w14:paraId="7B7B7486" w14:textId="77777777" w:rsidR="000F64BB" w:rsidRDefault="000F64BB" w:rsidP="00850E53"/>
        </w:tc>
        <w:tc>
          <w:tcPr>
            <w:tcW w:w="2880" w:type="dxa"/>
          </w:tcPr>
          <w:p w14:paraId="4A3223AD" w14:textId="77777777" w:rsidR="000F64BB" w:rsidRDefault="000F64BB" w:rsidP="00850E53"/>
        </w:tc>
        <w:tc>
          <w:tcPr>
            <w:tcW w:w="2880" w:type="dxa"/>
          </w:tcPr>
          <w:p w14:paraId="008F8C60" w14:textId="77777777" w:rsidR="000F64BB" w:rsidRDefault="000F64BB" w:rsidP="00850E53"/>
        </w:tc>
        <w:tc>
          <w:tcPr>
            <w:tcW w:w="2880" w:type="dxa"/>
          </w:tcPr>
          <w:p w14:paraId="1E090144" w14:textId="77777777" w:rsidR="000F64BB" w:rsidRDefault="000F64BB" w:rsidP="00850E53"/>
        </w:tc>
        <w:tc>
          <w:tcPr>
            <w:tcW w:w="2880" w:type="dxa"/>
          </w:tcPr>
          <w:p w14:paraId="5A823EA2" w14:textId="77777777" w:rsidR="000F64BB" w:rsidRDefault="000F64BB" w:rsidP="00850E53"/>
        </w:tc>
      </w:tr>
    </w:tbl>
    <w:p w14:paraId="73E9DBD1" w14:textId="77777777" w:rsidR="000F64BB" w:rsidRDefault="000F64BB" w:rsidP="00850E53">
      <w:pPr>
        <w:sectPr w:rsidR="000F64BB" w:rsidSect="008A33BD">
          <w:headerReference w:type="default" r:id="rId18"/>
          <w:footerReference w:type="default" r:id="rId19"/>
          <w:pgSz w:w="12240" w:h="15840"/>
          <w:pgMar w:top="1440" w:right="1440" w:bottom="1440" w:left="1440" w:header="720" w:footer="432" w:gutter="0"/>
          <w:cols w:space="720"/>
          <w:docGrid w:linePitch="360"/>
        </w:sectPr>
      </w:pPr>
    </w:p>
    <w:p w14:paraId="6DA2D8E2" w14:textId="77777777" w:rsidR="000F64BB" w:rsidRDefault="000F64BB" w:rsidP="00A10F25">
      <w:pPr>
        <w:pStyle w:val="BodyText"/>
        <w:spacing w:after="120"/>
      </w:pPr>
      <w:r>
        <w:lastRenderedPageBreak/>
        <w:t xml:space="preserve">Use this box to provide any additional insights you learned from completing this process or provide any additional information you think is necessary to understanding your plan. </w:t>
      </w:r>
    </w:p>
    <w:tbl>
      <w:tblPr>
        <w:tblStyle w:val="TexasToolkittable1"/>
        <w:tblW w:w="9544" w:type="dxa"/>
        <w:tblLook w:val="0600" w:firstRow="0" w:lastRow="0" w:firstColumn="0" w:lastColumn="0" w:noHBand="1" w:noVBand="1"/>
      </w:tblPr>
      <w:tblGrid>
        <w:gridCol w:w="9544"/>
      </w:tblGrid>
      <w:tr w:rsidR="000F64BB" w14:paraId="654D0CC1" w14:textId="77777777" w:rsidTr="00A10F25">
        <w:trPr>
          <w:trHeight w:val="10232"/>
        </w:trPr>
        <w:tc>
          <w:tcPr>
            <w:tcW w:w="9544" w:type="dxa"/>
          </w:tcPr>
          <w:p w14:paraId="1B674EF7" w14:textId="77777777" w:rsidR="000F64BB" w:rsidRDefault="000F64BB" w:rsidP="00850E53">
            <w:pPr>
              <w:pStyle w:val="CommentText"/>
            </w:pPr>
          </w:p>
        </w:tc>
      </w:tr>
    </w:tbl>
    <w:p w14:paraId="57EF3CB3" w14:textId="77777777" w:rsidR="008954ED" w:rsidRDefault="008954ED" w:rsidP="00A10F25">
      <w:pPr>
        <w:pStyle w:val="CommentText"/>
      </w:pPr>
    </w:p>
    <w:p w14:paraId="0FF89125" w14:textId="77777777" w:rsidR="004F3735" w:rsidRDefault="004F3735">
      <w:pPr>
        <w:spacing w:after="160"/>
        <w:sectPr w:rsidR="004F3735" w:rsidSect="00FA7BAC">
          <w:headerReference w:type="default" r:id="rId20"/>
          <w:footerReference w:type="default" r:id="rId21"/>
          <w:headerReference w:type="first" r:id="rId22"/>
          <w:pgSz w:w="12240" w:h="15840"/>
          <w:pgMar w:top="1440" w:right="1440" w:bottom="1440" w:left="1440" w:header="720" w:footer="432" w:gutter="0"/>
          <w:cols w:space="720"/>
          <w:titlePg/>
          <w:docGrid w:linePitch="360"/>
        </w:sectPr>
      </w:pPr>
    </w:p>
    <w:p w14:paraId="65E75DC0" w14:textId="77777777" w:rsidR="001105E2" w:rsidRDefault="0067787A" w:rsidP="0067787A">
      <w:pPr>
        <w:pStyle w:val="Heading1"/>
      </w:pPr>
      <w:r>
        <w:lastRenderedPageBreak/>
        <w:t>Appendix</w:t>
      </w:r>
    </w:p>
    <w:p w14:paraId="6120E17E" w14:textId="2BFA1749" w:rsidR="00A21929" w:rsidRDefault="0067787A" w:rsidP="00117362">
      <w:pPr>
        <w:pStyle w:val="TableTitle"/>
      </w:pPr>
      <w:r>
        <w:t>List of Resources</w:t>
      </w:r>
      <w:r w:rsidR="00794537">
        <w:t xml:space="preserve"> to Support Local Equity Plan Development,</w:t>
      </w:r>
      <w:r w:rsidR="00A21929">
        <w:t xml:space="preserve"> by Topic Area</w:t>
      </w:r>
    </w:p>
    <w:tbl>
      <w:tblPr>
        <w:tblStyle w:val="TexasToolkittable1"/>
        <w:tblW w:w="5291" w:type="pct"/>
        <w:tblLook w:val="04A0" w:firstRow="1" w:lastRow="0" w:firstColumn="1" w:lastColumn="0" w:noHBand="0" w:noVBand="1"/>
      </w:tblPr>
      <w:tblGrid>
        <w:gridCol w:w="1593"/>
        <w:gridCol w:w="8809"/>
      </w:tblGrid>
      <w:tr w:rsidR="00526F2C" w14:paraId="41BBDE98" w14:textId="77777777" w:rsidTr="00CC368C">
        <w:trPr>
          <w:cnfStyle w:val="100000000000" w:firstRow="1" w:lastRow="0" w:firstColumn="0" w:lastColumn="0" w:oddVBand="0" w:evenVBand="0" w:oddHBand="0" w:evenHBand="0" w:firstRowFirstColumn="0" w:firstRowLastColumn="0" w:lastRowFirstColumn="0" w:lastRowLastColumn="0"/>
          <w:tblHeader/>
        </w:trPr>
        <w:tc>
          <w:tcPr>
            <w:tcW w:w="732" w:type="pct"/>
          </w:tcPr>
          <w:p w14:paraId="4577904A" w14:textId="77777777" w:rsidR="0098335A" w:rsidRDefault="0098335A" w:rsidP="00117362">
            <w:pPr>
              <w:pStyle w:val="TableColumnHeadingLeft"/>
            </w:pPr>
            <w:r>
              <w:t>Topic Area</w:t>
            </w:r>
          </w:p>
        </w:tc>
        <w:tc>
          <w:tcPr>
            <w:tcW w:w="4268" w:type="pct"/>
          </w:tcPr>
          <w:p w14:paraId="16E747D8" w14:textId="77777777" w:rsidR="0098335A" w:rsidRDefault="0098335A" w:rsidP="00117362">
            <w:pPr>
              <w:pStyle w:val="TableColumnHeadingLeft"/>
            </w:pPr>
            <w:r>
              <w:t>Resource and Link to Access Resource</w:t>
            </w:r>
          </w:p>
        </w:tc>
      </w:tr>
      <w:tr w:rsidR="00526F2C" w:rsidRPr="0098335A" w14:paraId="7032BF46" w14:textId="77777777" w:rsidTr="00CC368C">
        <w:tc>
          <w:tcPr>
            <w:tcW w:w="732" w:type="pct"/>
          </w:tcPr>
          <w:p w14:paraId="5F573EBD" w14:textId="77777777" w:rsidR="0098335A" w:rsidRPr="0098335A" w:rsidRDefault="0098335A" w:rsidP="00117362">
            <w:pPr>
              <w:pStyle w:val="TableSubheading"/>
              <w:rPr>
                <w:b/>
              </w:rPr>
            </w:pPr>
            <w:r w:rsidRPr="0098335A">
              <w:t>Every Student Succeeds Act</w:t>
            </w:r>
            <w:r>
              <w:t xml:space="preserve"> (ESSA)</w:t>
            </w:r>
          </w:p>
        </w:tc>
        <w:tc>
          <w:tcPr>
            <w:tcW w:w="4268" w:type="pct"/>
          </w:tcPr>
          <w:p w14:paraId="310ECA7A" w14:textId="2ABCA565" w:rsidR="0098335A" w:rsidRPr="00117362" w:rsidRDefault="0098335A" w:rsidP="00117362">
            <w:pPr>
              <w:pStyle w:val="TableBullet"/>
            </w:pPr>
            <w:r w:rsidRPr="00117362">
              <w:t xml:space="preserve">Information from the U.S. Department of Education </w:t>
            </w:r>
            <w:r w:rsidR="008E3FA0" w:rsidRPr="00117362">
              <w:t xml:space="preserve">(ED) </w:t>
            </w:r>
            <w:r w:rsidRPr="00117362">
              <w:t>(</w:t>
            </w:r>
            <w:hyperlink r:id="rId23" w:history="1">
              <w:r w:rsidR="00CC368C" w:rsidRPr="00F24E5F">
                <w:rPr>
                  <w:rStyle w:val="Hyperlink"/>
                </w:rPr>
                <w:t>http://www.ed.gov/essa?src=rn)</w:t>
              </w:r>
            </w:hyperlink>
            <w:r w:rsidR="004F3735" w:rsidRPr="00117362">
              <w:t>.</w:t>
            </w:r>
          </w:p>
          <w:p w14:paraId="1F7A80CA" w14:textId="77777777" w:rsidR="0098335A" w:rsidRPr="00117362" w:rsidRDefault="0098335A" w:rsidP="00117362">
            <w:pPr>
              <w:pStyle w:val="TableBullet"/>
            </w:pPr>
            <w:r w:rsidRPr="00117362">
              <w:t xml:space="preserve">Information on equity as it relates to states is included in section (1111(g)(1)(B)). </w:t>
            </w:r>
          </w:p>
          <w:p w14:paraId="05CEF8FD" w14:textId="31D59571" w:rsidR="0098335A" w:rsidRPr="00117362" w:rsidRDefault="0098335A" w:rsidP="00117362">
            <w:pPr>
              <w:pStyle w:val="TableBullet"/>
              <w:rPr>
                <w:sz w:val="22"/>
              </w:rPr>
            </w:pPr>
            <w:r w:rsidRPr="00117362">
              <w:t>Information on equity as it relates to districts is included in section (1112(b)(2)).</w:t>
            </w:r>
          </w:p>
        </w:tc>
      </w:tr>
      <w:tr w:rsidR="00645BCD" w:rsidRPr="00A2623B" w14:paraId="41257587" w14:textId="77777777" w:rsidTr="00CC368C">
        <w:trPr>
          <w:cnfStyle w:val="000000010000" w:firstRow="0" w:lastRow="0" w:firstColumn="0" w:lastColumn="0" w:oddVBand="0" w:evenVBand="0" w:oddHBand="0" w:evenHBand="1" w:firstRowFirstColumn="0" w:firstRowLastColumn="0" w:lastRowFirstColumn="0" w:lastRowLastColumn="0"/>
          <w:trHeight w:val="1646"/>
        </w:trPr>
        <w:tc>
          <w:tcPr>
            <w:tcW w:w="732" w:type="pct"/>
          </w:tcPr>
          <w:p w14:paraId="65E0D790" w14:textId="77777777" w:rsidR="00645BCD" w:rsidRPr="00A2623B" w:rsidRDefault="00645BCD" w:rsidP="00117362">
            <w:pPr>
              <w:pStyle w:val="TableSubheading"/>
              <w:rPr>
                <w:b/>
              </w:rPr>
            </w:pPr>
            <w:r w:rsidRPr="00A2623B">
              <w:t>Equity Plans</w:t>
            </w:r>
          </w:p>
        </w:tc>
        <w:tc>
          <w:tcPr>
            <w:tcW w:w="4268" w:type="pct"/>
          </w:tcPr>
          <w:p w14:paraId="7DBAA851" w14:textId="52CC877C" w:rsidR="00A2623B" w:rsidRPr="00117362" w:rsidRDefault="00A2623B" w:rsidP="00117362">
            <w:pPr>
              <w:pStyle w:val="TableBullet"/>
            </w:pPr>
            <w:r w:rsidRPr="00117362">
              <w:t>State Equity Plans</w:t>
            </w:r>
            <w:r w:rsidR="00063BAA" w:rsidRPr="00117362">
              <w:t>—</w:t>
            </w:r>
            <w:r w:rsidRPr="00117362">
              <w:t xml:space="preserve">plans submitted by all of the states </w:t>
            </w:r>
            <w:r w:rsidR="00964B5C" w:rsidRPr="00117362">
              <w:t xml:space="preserve">to ED in 2015 </w:t>
            </w:r>
            <w:r w:rsidRPr="00117362">
              <w:t>(</w:t>
            </w:r>
            <w:hyperlink r:id="rId24" w:history="1">
              <w:r w:rsidRPr="00117362">
                <w:rPr>
                  <w:rStyle w:val="Hyperlink"/>
                </w:rPr>
                <w:t>https://www2.ed.gov/programs/titleiparta/resources.html</w:t>
              </w:r>
            </w:hyperlink>
            <w:r w:rsidRPr="00117362">
              <w:t>)</w:t>
            </w:r>
            <w:r w:rsidR="004F3735" w:rsidRPr="00117362">
              <w:t>.</w:t>
            </w:r>
          </w:p>
          <w:p w14:paraId="0E111A2A" w14:textId="3319CF18" w:rsidR="00782B58" w:rsidRPr="00A2623B" w:rsidRDefault="00AE5867" w:rsidP="00CC368C">
            <w:pPr>
              <w:pStyle w:val="TableBullet"/>
            </w:pPr>
            <w:r w:rsidRPr="00117362">
              <w:t>Texas 2015 Equity Plan (</w:t>
            </w:r>
            <w:hyperlink r:id="rId25" w:history="1">
              <w:r w:rsidR="00782B58" w:rsidRPr="00117362">
                <w:rPr>
                  <w:rStyle w:val="Hyperlink"/>
                </w:rPr>
                <w:t>http://tea.texas.gov/About_TEA/Laws_and_Rules/NCLB_and_ESEA/Title_I,_Part_A_-_Improving_Basic_Programs/State_Plan_To_Ensure_Equitable_Access_to_Excellent_Educators/</w:t>
              </w:r>
              <w:r w:rsidR="00782B58" w:rsidRPr="00117362">
                <w:rPr>
                  <w:rStyle w:val="Hyperlink"/>
                  <w:color w:val="auto"/>
                  <w:u w:val="none"/>
                </w:rPr>
                <w:t>)</w:t>
              </w:r>
            </w:hyperlink>
            <w:r w:rsidR="004F3735" w:rsidRPr="00117362">
              <w:t>.</w:t>
            </w:r>
          </w:p>
        </w:tc>
      </w:tr>
      <w:tr w:rsidR="00526F2C" w14:paraId="1AEFD47E" w14:textId="77777777" w:rsidTr="00CC368C">
        <w:tc>
          <w:tcPr>
            <w:tcW w:w="732" w:type="pct"/>
          </w:tcPr>
          <w:p w14:paraId="551AA5B1" w14:textId="77777777" w:rsidR="0098335A" w:rsidRPr="00957804" w:rsidRDefault="0098335A" w:rsidP="00117362">
            <w:pPr>
              <w:pStyle w:val="TableSubheading"/>
              <w:rPr>
                <w:b/>
              </w:rPr>
            </w:pPr>
            <w:r w:rsidRPr="00957804">
              <w:t xml:space="preserve">Engaging and Communicating with Stakeholders </w:t>
            </w:r>
          </w:p>
        </w:tc>
        <w:tc>
          <w:tcPr>
            <w:tcW w:w="4268" w:type="pct"/>
          </w:tcPr>
          <w:p w14:paraId="7A53557B" w14:textId="77777777" w:rsidR="0098335A" w:rsidRDefault="0098335A" w:rsidP="00117362">
            <w:pPr>
              <w:pStyle w:val="TableBullet"/>
            </w:pPr>
            <w:r w:rsidRPr="0098335A">
              <w:t>The Center on Great Teachers and Leaders (GTL Center) has developed sample stakeholder engagement meeting agendas for various formats</w:t>
            </w:r>
            <w:r>
              <w:t xml:space="preserve"> (</w:t>
            </w:r>
            <w:hyperlink r:id="rId26" w:history="1">
              <w:r w:rsidR="00535414" w:rsidRPr="00C75EBF">
                <w:rPr>
                  <w:rStyle w:val="Hyperlink"/>
                </w:rPr>
                <w:t>http://www.gtlcenter.org/sites/default/files/GTL_Resource_04_Agendas-ed-fmt.doc)</w:t>
              </w:r>
            </w:hyperlink>
            <w:r w:rsidR="004F3735">
              <w:t>.</w:t>
            </w:r>
          </w:p>
          <w:p w14:paraId="6A035C3F" w14:textId="77777777" w:rsidR="00535414" w:rsidRDefault="00535414" w:rsidP="00117362">
            <w:pPr>
              <w:pStyle w:val="TableBullet"/>
            </w:pPr>
            <w:r>
              <w:t xml:space="preserve">Communications planning </w:t>
            </w:r>
            <w:r w:rsidR="00FD7D1E">
              <w:t xml:space="preserve">resource from the GTL Center </w:t>
            </w:r>
            <w:r>
              <w:t>(</w:t>
            </w:r>
            <w:hyperlink r:id="rId27" w:history="1">
              <w:r w:rsidR="00FD7D1E" w:rsidRPr="00C75EBF">
                <w:rPr>
                  <w:rStyle w:val="Hyperlink"/>
                </w:rPr>
                <w:t>http://www.gtlcenter.org/sites/default/files/Communication_Guidebook.pdf)</w:t>
              </w:r>
            </w:hyperlink>
            <w:r w:rsidR="004F3735">
              <w:t>.</w:t>
            </w:r>
          </w:p>
          <w:p w14:paraId="1DF6D3CD" w14:textId="1D03CDBE" w:rsidR="00FD7D1E" w:rsidRDefault="00FD7D1E" w:rsidP="00117362">
            <w:pPr>
              <w:pStyle w:val="TableBullet"/>
            </w:pPr>
            <w:r>
              <w:t>Developing key messages</w:t>
            </w:r>
            <w:r w:rsidR="00063BAA">
              <w:t>—</w:t>
            </w:r>
            <w:r>
              <w:t>Ideas and suggestions from the GTL Center (</w:t>
            </w:r>
            <w:hyperlink r:id="rId28" w:history="1">
              <w:r w:rsidRPr="00C75EBF">
                <w:rPr>
                  <w:rStyle w:val="Hyperlink"/>
                </w:rPr>
                <w:t>http://www.gtlcenter.org/sites/default/files/Communication_Guidebook.pdf)</w:t>
              </w:r>
            </w:hyperlink>
            <w:r w:rsidR="004F3735">
              <w:t>.</w:t>
            </w:r>
          </w:p>
          <w:p w14:paraId="21281D11" w14:textId="7B171BAF" w:rsidR="00FD7D1E" w:rsidRPr="00957804" w:rsidRDefault="00FD7D1E" w:rsidP="00117362">
            <w:pPr>
              <w:pStyle w:val="TableBullet"/>
            </w:pPr>
            <w:r>
              <w:t>Gathering stakeholder feedback with a feedback form from the GTL Center that districts can use or repurpose (</w:t>
            </w:r>
            <w:hyperlink r:id="rId29" w:history="1">
              <w:r w:rsidRPr="009A78CB">
                <w:rPr>
                  <w:rStyle w:val="Hyperlink"/>
                </w:rPr>
                <w:t>http://www.gtlcenter.org/sites/default/files/GTL_Resource_05_IncorpFeedback-ed-fmt.doc</w:t>
              </w:r>
            </w:hyperlink>
            <w:r>
              <w:t>)</w:t>
            </w:r>
            <w:r w:rsidR="004F3735">
              <w:t>.</w:t>
            </w:r>
          </w:p>
        </w:tc>
      </w:tr>
      <w:tr w:rsidR="00526F2C" w14:paraId="242D2EED" w14:textId="77777777" w:rsidTr="00CC368C">
        <w:trPr>
          <w:cnfStyle w:val="000000010000" w:firstRow="0" w:lastRow="0" w:firstColumn="0" w:lastColumn="0" w:oddVBand="0" w:evenVBand="0" w:oddHBand="0" w:evenHBand="1" w:firstRowFirstColumn="0" w:firstRowLastColumn="0" w:lastRowFirstColumn="0" w:lastRowLastColumn="0"/>
        </w:trPr>
        <w:tc>
          <w:tcPr>
            <w:tcW w:w="732" w:type="pct"/>
          </w:tcPr>
          <w:p w14:paraId="7DB7ABE7" w14:textId="77777777" w:rsidR="0098335A" w:rsidRPr="00957804" w:rsidRDefault="0098335A" w:rsidP="00117362">
            <w:pPr>
              <w:pStyle w:val="TableSubheading"/>
              <w:rPr>
                <w:b/>
              </w:rPr>
            </w:pPr>
            <w:r>
              <w:t>Reviewing and Analyzing Data</w:t>
            </w:r>
          </w:p>
        </w:tc>
        <w:tc>
          <w:tcPr>
            <w:tcW w:w="4268" w:type="pct"/>
          </w:tcPr>
          <w:p w14:paraId="0A4ABDB9" w14:textId="77777777" w:rsidR="0098335A" w:rsidRDefault="008E3FA0" w:rsidP="00117362">
            <w:pPr>
              <w:pStyle w:val="TableBullet"/>
            </w:pPr>
            <w:r>
              <w:t xml:space="preserve">ED definition </w:t>
            </w:r>
            <w:r w:rsidR="00AA73FA">
              <w:t>of</w:t>
            </w:r>
            <w:r>
              <w:t xml:space="preserve"> “out-of-field” teachers (</w:t>
            </w:r>
            <w:hyperlink r:id="rId30" w:history="1">
              <w:r w:rsidRPr="00C75EBF">
                <w:rPr>
                  <w:rStyle w:val="Hyperlink"/>
                </w:rPr>
                <w:t>https://www2.ed.gov/policy/elsec/leg/esea02/pg20.html)</w:t>
              </w:r>
            </w:hyperlink>
            <w:r w:rsidR="004F3735">
              <w:t>.</w:t>
            </w:r>
          </w:p>
          <w:p w14:paraId="705D1EF9" w14:textId="13842274" w:rsidR="008E3FA0" w:rsidRDefault="008E3FA0" w:rsidP="00117362">
            <w:pPr>
              <w:pStyle w:val="TableBullet"/>
            </w:pPr>
            <w:r>
              <w:t>Best practices in defining an “ineffective” teacher. Resource from the GTL</w:t>
            </w:r>
            <w:r w:rsidR="00AA73FA">
              <w:t xml:space="preserve"> Center</w:t>
            </w:r>
            <w:r>
              <w:t xml:space="preserve"> </w:t>
            </w:r>
            <w:r w:rsidRPr="008E3FA0">
              <w:rPr>
                <w:i/>
              </w:rPr>
              <w:t>Teacher Effectiveness in the Every Student Succeeds Act: A Discussion Guide</w:t>
            </w:r>
            <w:r>
              <w:t xml:space="preserve"> (</w:t>
            </w:r>
            <w:hyperlink r:id="rId31" w:history="1">
              <w:r w:rsidR="00526F2C" w:rsidRPr="009A78CB">
                <w:rPr>
                  <w:rStyle w:val="Hyperlink"/>
                </w:rPr>
                <w:t>http://www.gtlcenter.org/sites/default/files/TeacherEffectiveness_ESSA.pdf</w:t>
              </w:r>
            </w:hyperlink>
            <w:r w:rsidR="00526F2C">
              <w:t>)</w:t>
            </w:r>
            <w:r w:rsidR="004F3735">
              <w:t>.</w:t>
            </w:r>
          </w:p>
          <w:p w14:paraId="3F7A1C36" w14:textId="77777777" w:rsidR="008E3FA0" w:rsidRDefault="00526F2C" w:rsidP="00117362">
            <w:pPr>
              <w:pStyle w:val="TableBullet"/>
            </w:pPr>
            <w:r>
              <w:t>The</w:t>
            </w:r>
            <w:r w:rsidR="008E3FA0">
              <w:t xml:space="preserve"> reference </w:t>
            </w:r>
            <w:r>
              <w:t xml:space="preserve">above </w:t>
            </w:r>
            <w:r w:rsidR="008E3FA0">
              <w:t xml:space="preserve">also </w:t>
            </w:r>
            <w:r>
              <w:t>helps</w:t>
            </w:r>
            <w:r w:rsidR="008E3FA0">
              <w:t xml:space="preserve"> guide consideration of the role district resources, including time, money, and educator engagement, play in the decision-making process in defining effective teaching.</w:t>
            </w:r>
          </w:p>
          <w:p w14:paraId="4A9910DE" w14:textId="77777777" w:rsidR="008E3FA0" w:rsidRDefault="00526F2C" w:rsidP="00117362">
            <w:pPr>
              <w:pStyle w:val="TableBullet"/>
            </w:pPr>
            <w:r>
              <w:t xml:space="preserve">Texas Data Checklist (list of data elements </w:t>
            </w:r>
            <w:r w:rsidRPr="00526F2C">
              <w:t>available to most districts in Texas</w:t>
            </w:r>
            <w:r>
              <w:t>; LINK TBD)</w:t>
            </w:r>
            <w:r w:rsidR="004F3735">
              <w:t>.</w:t>
            </w:r>
          </w:p>
          <w:p w14:paraId="6D28F8E6" w14:textId="77777777" w:rsidR="00526F2C" w:rsidRDefault="00526F2C" w:rsidP="00117362">
            <w:pPr>
              <w:pStyle w:val="TableBullet"/>
            </w:pPr>
            <w:r>
              <w:t xml:space="preserve">Data from the </w:t>
            </w:r>
            <w:r w:rsidRPr="00526F2C">
              <w:t>Public Education Information Management System (PEIMS) (2015–2016)</w:t>
            </w:r>
            <w:r>
              <w:t xml:space="preserve"> sources</w:t>
            </w:r>
            <w:r w:rsidRPr="00526F2C">
              <w:t>. Code tables</w:t>
            </w:r>
            <w:r>
              <w:t xml:space="preserve"> available at </w:t>
            </w:r>
            <w:hyperlink r:id="rId32" w:history="1">
              <w:r w:rsidRPr="00C75EBF">
                <w:rPr>
                  <w:rStyle w:val="Hyperlink"/>
                </w:rPr>
                <w:t>http://ritter.tea.state.tx.us/peims/standards/weds/</w:t>
              </w:r>
            </w:hyperlink>
            <w:r w:rsidR="004F3735">
              <w:t>.</w:t>
            </w:r>
          </w:p>
          <w:p w14:paraId="57E1911B" w14:textId="2CF9F030" w:rsidR="00526F2C" w:rsidRDefault="00526F2C" w:rsidP="00117362">
            <w:pPr>
              <w:pStyle w:val="TableBullet"/>
            </w:pPr>
            <w:r>
              <w:t>Definition of person of color</w:t>
            </w:r>
            <w:r w:rsidR="00063BAA">
              <w:t>—</w:t>
            </w:r>
            <w:r w:rsidRPr="00526F2C">
              <w:t>New Ox</w:t>
            </w:r>
            <w:r>
              <w:t>ford American Dictionary (2015) definition is</w:t>
            </w:r>
            <w:r w:rsidRPr="00526F2C">
              <w:t xml:space="preserve"> a person of color is a person who is not White or of European parentage (</w:t>
            </w:r>
            <w:hyperlink r:id="rId33" w:history="1">
              <w:r w:rsidRPr="00C75EBF">
                <w:rPr>
                  <w:rStyle w:val="Hyperlink"/>
                </w:rPr>
                <w:t>https://en.oxforddictionaries.com/definition/us/person_of_color)</w:t>
              </w:r>
            </w:hyperlink>
            <w:r w:rsidRPr="00526F2C">
              <w:t>.</w:t>
            </w:r>
          </w:p>
          <w:p w14:paraId="038894E6" w14:textId="0B803549" w:rsidR="00C869DA" w:rsidRDefault="00C869DA" w:rsidP="00117362">
            <w:pPr>
              <w:pStyle w:val="TableBullet"/>
            </w:pPr>
            <w:r w:rsidRPr="00C869DA">
              <w:t>The PEIMS 110 record includes an “at-risk indicator code</w:t>
            </w:r>
            <w:r w:rsidR="00063BAA">
              <w:t>.</w:t>
            </w:r>
            <w:r w:rsidRPr="00C869DA">
              <w:t xml:space="preserve">” This code indicates whether a student is currently identified as at-risk of dropping out of school using state-defined criteria that are based on whether the student meets one or more of 13 criteria. For more information, please visit </w:t>
            </w:r>
            <w:hyperlink r:id="rId34" w:history="1">
              <w:r w:rsidR="00AB118B" w:rsidRPr="00C63BF0">
                <w:rPr>
                  <w:rStyle w:val="Hyperlink"/>
                </w:rPr>
                <w:t>http://ritter.tea.state.tx.us/peims/standards/weds/</w:t>
              </w:r>
            </w:hyperlink>
            <w:r w:rsidRPr="00C869DA">
              <w:t>.</w:t>
            </w:r>
          </w:p>
          <w:p w14:paraId="29C4F819" w14:textId="303E6B5E" w:rsidR="00AB118B" w:rsidRDefault="00AB118B" w:rsidP="00117362">
            <w:pPr>
              <w:pStyle w:val="TableBullet"/>
            </w:pPr>
            <w:r w:rsidRPr="00AB118B">
              <w:t>Chronic absenteeism refers to excessive absences during the school year while truancy refers to a certain number or certain frequency of unexcused absences. In Texas, chronic absenteeism generally refers to a student who is absent for 10</w:t>
            </w:r>
            <w:r w:rsidR="00063BAA">
              <w:t xml:space="preserve">% </w:t>
            </w:r>
            <w:r w:rsidRPr="00AB118B">
              <w:t xml:space="preserve">or more of the days school is offered (see Texas. Education Code §25.092; </w:t>
            </w:r>
            <w:hyperlink r:id="rId35" w:history="1">
              <w:r w:rsidRPr="009A78CB">
                <w:rPr>
                  <w:rStyle w:val="Hyperlink"/>
                </w:rPr>
                <w:t>http://www.statutes.legis.state.tx.us/?link=ED</w:t>
              </w:r>
            </w:hyperlink>
            <w:r w:rsidRPr="00AB118B">
              <w:t xml:space="preserve">). Truant conduct is defined as failing to attend school without an excuse on 10 or more days or parts of days within a </w:t>
            </w:r>
            <w:r w:rsidR="00063BAA">
              <w:t>6</w:t>
            </w:r>
            <w:r w:rsidRPr="00AB118B">
              <w:t xml:space="preserve">-month period in the same school year (see Texas Family Code §65.003(a); </w:t>
            </w:r>
            <w:hyperlink r:id="rId36" w:history="1">
              <w:r w:rsidRPr="009A78CB">
                <w:rPr>
                  <w:rStyle w:val="Hyperlink"/>
                </w:rPr>
                <w:t>http://www.statutes.legis.state.tx.us/Docs/FA/htm/FA.65.htm</w:t>
              </w:r>
            </w:hyperlink>
            <w:r w:rsidRPr="00AB118B">
              <w:t>).</w:t>
            </w:r>
          </w:p>
          <w:p w14:paraId="046EA7EF" w14:textId="3DFAF725" w:rsidR="00526F2C" w:rsidRPr="00957804" w:rsidRDefault="00526F2C" w:rsidP="00117362">
            <w:pPr>
              <w:pStyle w:val="TableBullet"/>
            </w:pPr>
            <w:r>
              <w:lastRenderedPageBreak/>
              <w:t xml:space="preserve">Research on </w:t>
            </w:r>
            <w:r w:rsidRPr="00526F2C">
              <w:t>within campus inequitable student access to effective teachers</w:t>
            </w:r>
            <w:r w:rsidR="009A78CB">
              <w:t>—</w:t>
            </w:r>
            <w:r w:rsidRPr="00526F2C">
              <w:t xml:space="preserve">Goldhaber, D., Lavery, L., &amp; Theobald, R. (2014). </w:t>
            </w:r>
            <w:r w:rsidRPr="00063BAA">
              <w:rPr>
                <w:i/>
              </w:rPr>
              <w:t>Uneven playing field? Assessing the inequity of teacher characteristics and measured performance across students</w:t>
            </w:r>
            <w:r w:rsidRPr="00526F2C">
              <w:t xml:space="preserve"> (CEDR Working Paper 2014-14). Seattle: University of Washington. Retrieved from </w:t>
            </w:r>
            <w:hyperlink r:id="rId37" w:history="1">
              <w:r w:rsidRPr="009A78CB">
                <w:rPr>
                  <w:rStyle w:val="Hyperlink"/>
                </w:rPr>
                <w:t>http://www.cedr.us/papers/working/CEDR%20WP%202014-4.pdf</w:t>
              </w:r>
            </w:hyperlink>
            <w:r w:rsidR="004F3735">
              <w:t>.</w:t>
            </w:r>
          </w:p>
        </w:tc>
      </w:tr>
      <w:tr w:rsidR="00526F2C" w14:paraId="477250FA" w14:textId="77777777" w:rsidTr="00CC368C">
        <w:tc>
          <w:tcPr>
            <w:tcW w:w="732" w:type="pct"/>
          </w:tcPr>
          <w:p w14:paraId="746E0F4A" w14:textId="77777777" w:rsidR="0098335A" w:rsidRPr="00957804" w:rsidRDefault="0098335A" w:rsidP="00117362">
            <w:pPr>
              <w:pStyle w:val="TableSubheading"/>
              <w:rPr>
                <w:b/>
              </w:rPr>
            </w:pPr>
            <w:r>
              <w:lastRenderedPageBreak/>
              <w:t>Conducting a Root Cause Analysis</w:t>
            </w:r>
          </w:p>
        </w:tc>
        <w:tc>
          <w:tcPr>
            <w:tcW w:w="4268" w:type="pct"/>
          </w:tcPr>
          <w:p w14:paraId="3D4D77E1" w14:textId="5FE81138" w:rsidR="00C71962" w:rsidRDefault="00C71962" w:rsidP="00117362">
            <w:pPr>
              <w:pStyle w:val="TableBullet"/>
            </w:pPr>
            <w:r>
              <w:t>Problems of Practice Related to Talent Management</w:t>
            </w:r>
            <w:r w:rsidR="00063BAA">
              <w:t>—</w:t>
            </w:r>
            <w:r>
              <w:t>As districts explore the root causes of their equity gaps, it may be helpful to carefully examine current talent management strategies, policies, and practices and consider how they may be supporting or hindering equitable access. The following GTL Center resources and tools can help districts as they consider how their current approaches support attracting, supporting, and retaining excellent educators in their highest need campuses.</w:t>
            </w:r>
          </w:p>
          <w:p w14:paraId="5FFCBF17" w14:textId="77777777" w:rsidR="0098335A" w:rsidRDefault="00C71962" w:rsidP="00196D44">
            <w:pPr>
              <w:pStyle w:val="TableBullet"/>
              <w:numPr>
                <w:ilvl w:val="1"/>
                <w:numId w:val="14"/>
              </w:numPr>
            </w:pPr>
            <w:r>
              <w:t>Talent Development Framework (</w:t>
            </w:r>
            <w:hyperlink r:id="rId38" w:history="1">
              <w:r w:rsidRPr="00C75EBF">
                <w:rPr>
                  <w:rStyle w:val="Hyperlink"/>
                </w:rPr>
                <w:t>http://www.gtlcenter.org/sites/default/files/14-2591_GTL_Talent_Dev_Framework-ed_110714.pdf)</w:t>
              </w:r>
            </w:hyperlink>
            <w:r w:rsidR="004F3735">
              <w:t>.</w:t>
            </w:r>
          </w:p>
          <w:p w14:paraId="7E3BB2B6" w14:textId="77777777" w:rsidR="00C71962" w:rsidRDefault="00C71962" w:rsidP="00196D44">
            <w:pPr>
              <w:pStyle w:val="TableBullet"/>
              <w:numPr>
                <w:ilvl w:val="1"/>
                <w:numId w:val="14"/>
              </w:numPr>
            </w:pPr>
            <w:r>
              <w:t>Creating Coherence and Alignment Tool (</w:t>
            </w:r>
            <w:hyperlink r:id="rId39" w:history="1">
              <w:r w:rsidRPr="00C75EBF">
                <w:rPr>
                  <w:rStyle w:val="Hyperlink"/>
                </w:rPr>
                <w:t>http://www.gtlcenter.org/sites/default/files/Coherence_Alignment_Tool.pdf)</w:t>
              </w:r>
            </w:hyperlink>
            <w:r w:rsidR="004F3735">
              <w:t>.</w:t>
            </w:r>
          </w:p>
          <w:p w14:paraId="5343FCC2" w14:textId="77777777" w:rsidR="00C71962" w:rsidRDefault="00C71962" w:rsidP="00196D44">
            <w:pPr>
              <w:pStyle w:val="TableBullet"/>
              <w:numPr>
                <w:ilvl w:val="1"/>
                <w:numId w:val="14"/>
              </w:numPr>
            </w:pPr>
            <w:r>
              <w:t>Talent Management Strategies: Districts Self-Assessment Checklist (</w:t>
            </w:r>
            <w:hyperlink r:id="rId40" w:anchor="communities/pdc/documents/12611)" w:history="1">
              <w:r w:rsidR="003D10FC" w:rsidRPr="00C75EBF">
                <w:rPr>
                  <w:rStyle w:val="Hyperlink"/>
                </w:rPr>
                <w:t>https://easn.grads360.org/#communities/pdc/documents/12611)</w:t>
              </w:r>
            </w:hyperlink>
            <w:r w:rsidR="004F3735">
              <w:t>.</w:t>
            </w:r>
          </w:p>
          <w:p w14:paraId="72447611" w14:textId="64E975D2" w:rsidR="003D10FC" w:rsidRPr="00957804" w:rsidRDefault="00147836" w:rsidP="00117362">
            <w:pPr>
              <w:pStyle w:val="TableBullet"/>
            </w:pPr>
            <w:r>
              <w:t xml:space="preserve">After conducting a </w:t>
            </w:r>
            <w:r w:rsidR="007C3E53">
              <w:t>root cause analysis</w:t>
            </w:r>
            <w:r>
              <w:t xml:space="preserve">, districts may want to collect </w:t>
            </w:r>
            <w:r w:rsidR="00923BAF">
              <w:t xml:space="preserve">feedback from participants/stakeholders. </w:t>
            </w:r>
            <w:r w:rsidR="00923BAF" w:rsidRPr="00923BAF">
              <w:t>Your district may develop its own feedback form</w:t>
            </w:r>
            <w:r w:rsidR="007C3E53">
              <w:t xml:space="preserve">, </w:t>
            </w:r>
            <w:r w:rsidR="00923BAF" w:rsidRPr="00923BAF">
              <w:t xml:space="preserve">or you could choose to use or adapt an existing feedback form like </w:t>
            </w:r>
            <w:r w:rsidR="00923BAF">
              <w:t>the one</w:t>
            </w:r>
            <w:r w:rsidR="00923BAF" w:rsidRPr="00923BAF">
              <w:t xml:space="preserve"> developed by the </w:t>
            </w:r>
            <w:r w:rsidR="00923BAF">
              <w:t xml:space="preserve">GTL </w:t>
            </w:r>
            <w:r w:rsidR="00923BAF" w:rsidRPr="00923BAF">
              <w:t xml:space="preserve">Center </w:t>
            </w:r>
            <w:r w:rsidR="00923BAF">
              <w:t xml:space="preserve">available at </w:t>
            </w:r>
            <w:hyperlink r:id="rId41" w:history="1">
              <w:r w:rsidR="00923BAF" w:rsidRPr="000C048A">
                <w:rPr>
                  <w:rStyle w:val="Hyperlink"/>
                </w:rPr>
                <w:t>http://www.gtlcenter.org/sites/default/files/GTL_Resource_05_IncorpFeedback-ed-fmt.doc</w:t>
              </w:r>
            </w:hyperlink>
            <w:r w:rsidR="007C3E53">
              <w:t>.</w:t>
            </w:r>
          </w:p>
        </w:tc>
      </w:tr>
      <w:tr w:rsidR="00526F2C" w14:paraId="5E7635F6" w14:textId="77777777" w:rsidTr="00CC368C">
        <w:trPr>
          <w:cnfStyle w:val="000000010000" w:firstRow="0" w:lastRow="0" w:firstColumn="0" w:lastColumn="0" w:oddVBand="0" w:evenVBand="0" w:oddHBand="0" w:evenHBand="1" w:firstRowFirstColumn="0" w:firstRowLastColumn="0" w:lastRowFirstColumn="0" w:lastRowLastColumn="0"/>
        </w:trPr>
        <w:tc>
          <w:tcPr>
            <w:tcW w:w="732" w:type="pct"/>
          </w:tcPr>
          <w:p w14:paraId="079968C1" w14:textId="77777777" w:rsidR="0098335A" w:rsidRPr="00957804" w:rsidRDefault="0098335A" w:rsidP="00117362">
            <w:pPr>
              <w:pStyle w:val="TableSubheading"/>
              <w:rPr>
                <w:b/>
              </w:rPr>
            </w:pPr>
            <w:r>
              <w:t>Selecting Strategies</w:t>
            </w:r>
          </w:p>
        </w:tc>
        <w:tc>
          <w:tcPr>
            <w:tcW w:w="4268" w:type="pct"/>
          </w:tcPr>
          <w:p w14:paraId="2354771A" w14:textId="0A8A8864" w:rsidR="00FA6EF4" w:rsidRDefault="00FA6EF4" w:rsidP="00117362">
            <w:pPr>
              <w:pStyle w:val="TableBullet"/>
            </w:pPr>
            <w:r>
              <w:t>How to select strategies to address equity gaps</w:t>
            </w:r>
            <w:r w:rsidR="00AD17D7">
              <w:t>—</w:t>
            </w:r>
            <w:r>
              <w:t>The GTL Center’s Research-Supported Implementation Tips for Equitable Access Plan Strategies resource (</w:t>
            </w:r>
            <w:hyperlink r:id="rId42" w:history="1">
              <w:r w:rsidRPr="00C75EBF">
                <w:rPr>
                  <w:rStyle w:val="Hyperlink"/>
                </w:rPr>
                <w:t>http://www.gtlcenter.org/sites/default/files/Implementation_Tips.pdf)</w:t>
              </w:r>
            </w:hyperlink>
            <w:r w:rsidR="007C3E53">
              <w:t>.</w:t>
            </w:r>
          </w:p>
          <w:p w14:paraId="7A69E2C1" w14:textId="77777777" w:rsidR="00FA6EF4" w:rsidRDefault="00FA6EF4" w:rsidP="00117362">
            <w:pPr>
              <w:pStyle w:val="TableBullet"/>
            </w:pPr>
            <w:r>
              <w:t>Reviewing existing strategies may prompt some districts to consider a more comprehensive review of the alignment and coherence of their district’s policies and practices. The resources below can assist those efforts.</w:t>
            </w:r>
          </w:p>
          <w:p w14:paraId="4B2CFCCD" w14:textId="77777777" w:rsidR="00FA6EF4" w:rsidRDefault="00FA6EF4" w:rsidP="00196D44">
            <w:pPr>
              <w:pStyle w:val="TableBullet"/>
              <w:numPr>
                <w:ilvl w:val="1"/>
                <w:numId w:val="14"/>
              </w:numPr>
            </w:pPr>
            <w:r>
              <w:t>Talent Development Framework (</w:t>
            </w:r>
            <w:hyperlink r:id="rId43" w:history="1">
              <w:r w:rsidRPr="00C75EBF">
                <w:rPr>
                  <w:rStyle w:val="Hyperlink"/>
                </w:rPr>
                <w:t>http://www.gtlcenter.org/sites/default/files/14-2591_GTL_Talent_Dev_Framework-ed_110714.pdf)</w:t>
              </w:r>
            </w:hyperlink>
            <w:r>
              <w:t>.</w:t>
            </w:r>
          </w:p>
          <w:p w14:paraId="17EB1386" w14:textId="77777777" w:rsidR="00FA6EF4" w:rsidRDefault="00FA6EF4" w:rsidP="00196D44">
            <w:pPr>
              <w:pStyle w:val="TableBullet"/>
              <w:numPr>
                <w:ilvl w:val="1"/>
                <w:numId w:val="14"/>
              </w:numPr>
            </w:pPr>
            <w:r>
              <w:t>Creating Coherence and Alignment Tool (</w:t>
            </w:r>
            <w:hyperlink r:id="rId44" w:history="1">
              <w:r w:rsidRPr="00C75EBF">
                <w:rPr>
                  <w:rStyle w:val="Hyperlink"/>
                </w:rPr>
                <w:t>http://www.gtlcenter.org/sites/default/files/Coherence_Alignment_Tool.pdf)</w:t>
              </w:r>
            </w:hyperlink>
            <w:r>
              <w:t>.</w:t>
            </w:r>
          </w:p>
          <w:p w14:paraId="58E4D96E" w14:textId="2B801827" w:rsidR="0098335A" w:rsidRPr="00957804" w:rsidRDefault="00FA6EF4" w:rsidP="0067787A">
            <w:pPr>
              <w:pStyle w:val="TableBullet"/>
              <w:numPr>
                <w:ilvl w:val="1"/>
                <w:numId w:val="14"/>
              </w:numPr>
            </w:pPr>
            <w:r>
              <w:t>Talent Management Strategies: Districts Self-Assessment Checklist (</w:t>
            </w:r>
            <w:hyperlink r:id="rId45" w:anchor="communities/pdc/documents/12611)" w:history="1">
              <w:r w:rsidRPr="00C75EBF">
                <w:rPr>
                  <w:rStyle w:val="Hyperlink"/>
                </w:rPr>
                <w:t>https://easn.grads360.org/#communities/pdc/documents/12611)</w:t>
              </w:r>
            </w:hyperlink>
            <w:r>
              <w:t>.</w:t>
            </w:r>
          </w:p>
        </w:tc>
      </w:tr>
      <w:tr w:rsidR="00526F2C" w14:paraId="2A513DB0" w14:textId="77777777" w:rsidTr="00CC368C">
        <w:tc>
          <w:tcPr>
            <w:tcW w:w="732" w:type="pct"/>
          </w:tcPr>
          <w:p w14:paraId="780118DF" w14:textId="77777777" w:rsidR="0098335A" w:rsidRPr="00957804" w:rsidRDefault="0098335A" w:rsidP="00117362">
            <w:pPr>
              <w:pStyle w:val="TableSubheading"/>
              <w:rPr>
                <w:b/>
              </w:rPr>
            </w:pPr>
            <w:r>
              <w:t>Planning for Implementation</w:t>
            </w:r>
          </w:p>
        </w:tc>
        <w:tc>
          <w:tcPr>
            <w:tcW w:w="4268" w:type="pct"/>
          </w:tcPr>
          <w:p w14:paraId="5D24228A" w14:textId="7F9F0F69" w:rsidR="002C3C4F" w:rsidRDefault="002C3C4F" w:rsidP="00117362">
            <w:pPr>
              <w:pStyle w:val="TableBullet"/>
            </w:pPr>
            <w:r>
              <w:t>Developing a logic model. Although a formal logic model is not required when planning for implementing your district strategies, it might be helpful to create one, especially if you are using many strategies. Logic model development resources are available from:</w:t>
            </w:r>
          </w:p>
          <w:p w14:paraId="4E4DE7F7" w14:textId="0DA76FDC" w:rsidR="002C3C4F" w:rsidRDefault="002C3C4F" w:rsidP="00196D44">
            <w:pPr>
              <w:pStyle w:val="TableBullet"/>
              <w:numPr>
                <w:ilvl w:val="1"/>
                <w:numId w:val="14"/>
              </w:numPr>
            </w:pPr>
            <w:r>
              <w:t>The Kellogg Foundation (</w:t>
            </w:r>
            <w:hyperlink r:id="rId46" w:history="1">
              <w:r w:rsidRPr="00AD17D7">
                <w:rPr>
                  <w:rStyle w:val="Hyperlink"/>
                </w:rPr>
                <w:t>https://www.wkkf.org/resource-directory/resource/2006/02/wk-kellogg-foundation-logic-model-development-guide</w:t>
              </w:r>
            </w:hyperlink>
            <w:r>
              <w:t>)</w:t>
            </w:r>
            <w:r w:rsidR="007C3E53">
              <w:t>.</w:t>
            </w:r>
          </w:p>
          <w:p w14:paraId="1DC8D4C9" w14:textId="6B7B12ED" w:rsidR="002C3C4F" w:rsidRDefault="002C3C4F" w:rsidP="00196D44">
            <w:pPr>
              <w:pStyle w:val="TableBullet"/>
              <w:numPr>
                <w:ilvl w:val="1"/>
                <w:numId w:val="14"/>
              </w:numPr>
            </w:pPr>
            <w:r>
              <w:t>Regional Education Laboratory Northeast and Islands (</w:t>
            </w:r>
            <w:hyperlink r:id="rId47" w:history="1">
              <w:r w:rsidRPr="00AD17D7">
                <w:rPr>
                  <w:rStyle w:val="Hyperlink"/>
                </w:rPr>
                <w:t>http://www.relnei.org/events/skill-builder-archive/logic-model-to-program-evaluation.html</w:t>
              </w:r>
            </w:hyperlink>
            <w:r>
              <w:t>)</w:t>
            </w:r>
            <w:r w:rsidR="007C3E53">
              <w:t>.</w:t>
            </w:r>
          </w:p>
          <w:p w14:paraId="3C97E5A2" w14:textId="141F19FF" w:rsidR="0098335A" w:rsidRPr="00957804" w:rsidRDefault="00D84825" w:rsidP="00117362">
            <w:pPr>
              <w:pStyle w:val="TableBullet"/>
            </w:pPr>
            <w:r w:rsidRPr="00D84825">
              <w:t xml:space="preserve">If you need help generating a list of common barriers, you can </w:t>
            </w:r>
            <w:r w:rsidR="00A843B4">
              <w:t>refer to</w:t>
            </w:r>
            <w:r w:rsidRPr="00D84825">
              <w:t xml:space="preserve"> the GTL </w:t>
            </w:r>
            <w:r>
              <w:t xml:space="preserve">Center’s Monitoring Tool for a </w:t>
            </w:r>
            <w:r w:rsidRPr="00D84825">
              <w:t xml:space="preserve">list of </w:t>
            </w:r>
            <w:r w:rsidR="00A843B4">
              <w:t xml:space="preserve">common </w:t>
            </w:r>
            <w:r w:rsidRPr="00D84825">
              <w:t>barriers</w:t>
            </w:r>
            <w:r>
              <w:t xml:space="preserve"> (</w:t>
            </w:r>
            <w:hyperlink r:id="rId48" w:history="1">
              <w:r w:rsidRPr="00AD17D7">
                <w:rPr>
                  <w:rStyle w:val="Hyperlink"/>
                </w:rPr>
                <w:t>http://www.gtlcenter.org/sites/default/files/Monitoring_Tool.pdf</w:t>
              </w:r>
            </w:hyperlink>
            <w:r>
              <w:t>)</w:t>
            </w:r>
            <w:r w:rsidR="007C3E53">
              <w:t>.</w:t>
            </w:r>
          </w:p>
        </w:tc>
      </w:tr>
    </w:tbl>
    <w:p w14:paraId="09B84782" w14:textId="77777777" w:rsidR="00A21929" w:rsidRPr="0067787A" w:rsidRDefault="00A21929" w:rsidP="0067787A"/>
    <w:sectPr w:rsidR="00A21929" w:rsidRPr="0067787A" w:rsidSect="008A33BD">
      <w:footerReference w:type="first" r:id="rId49"/>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1923C" w14:textId="77777777" w:rsidR="003918B8" w:rsidRDefault="003918B8" w:rsidP="004A5A3D">
      <w:r>
        <w:separator/>
      </w:r>
    </w:p>
  </w:endnote>
  <w:endnote w:type="continuationSeparator" w:id="0">
    <w:p w14:paraId="1EB7DAAB" w14:textId="77777777" w:rsidR="003918B8" w:rsidRDefault="003918B8" w:rsidP="004A5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altName w:val="Calibr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089BD" w14:textId="77777777" w:rsidR="00850E53" w:rsidRDefault="00850E53" w:rsidP="00850E5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3B10222" w14:textId="77777777" w:rsidR="00850E53" w:rsidRDefault="00850E53" w:rsidP="00850E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1EA02" w14:textId="71489B0E" w:rsidR="00850E53" w:rsidRPr="001F42E8" w:rsidRDefault="003918B8" w:rsidP="001F42E8">
    <w:pPr>
      <w:pStyle w:val="Footer"/>
    </w:pPr>
    <w:sdt>
      <w:sdtPr>
        <w:id w:val="872196910"/>
        <w:docPartObj>
          <w:docPartGallery w:val="Page Numbers (Bottom of Page)"/>
          <w:docPartUnique/>
        </w:docPartObj>
      </w:sdtPr>
      <w:sdtEndPr/>
      <w:sdtContent>
        <w:r w:rsidR="001F42E8" w:rsidRPr="0022563E">
          <w:rPr>
            <w:color w:val="1F6197" w:themeColor="accent1" w:themeShade="80"/>
            <w:sz w:val="20"/>
          </w:rPr>
          <w:t xml:space="preserve">© TEA    3/29/2017             </w:t>
        </w:r>
        <w:r w:rsidR="001F42E8">
          <w:rPr>
            <w:color w:val="1F6197" w:themeColor="accent1" w:themeShade="80"/>
            <w:sz w:val="20"/>
          </w:rPr>
          <w:t xml:space="preserve">  </w:t>
        </w:r>
        <w:r w:rsidR="001F42E8" w:rsidRPr="0022563E">
          <w:rPr>
            <w:color w:val="1F6197" w:themeColor="accent1" w:themeShade="80"/>
            <w:sz w:val="20"/>
          </w:rPr>
          <w:t xml:space="preserve"> </w:t>
        </w:r>
        <w:r w:rsidR="001F42E8">
          <w:rPr>
            <w:color w:val="1F6197" w:themeColor="accent1" w:themeShade="80"/>
            <w:sz w:val="20"/>
          </w:rPr>
          <w:t>Texas Equity Toolkit: Roadmap Reporting Template</w:t>
        </w:r>
        <w:r w:rsidR="001F42E8" w:rsidRPr="00257667">
          <w:rPr>
            <w:color w:val="1F6197" w:themeColor="accent1" w:themeShade="80"/>
            <w:sz w:val="20"/>
          </w:rPr>
          <w:t xml:space="preserve">  </w:t>
        </w:r>
        <w:r w:rsidR="001F42E8">
          <w:rPr>
            <w:color w:val="1F6197" w:themeColor="accent1" w:themeShade="80"/>
            <w:sz w:val="20"/>
          </w:rPr>
          <w:t xml:space="preserve">                       </w:t>
        </w:r>
        <w:r w:rsidR="001F42E8" w:rsidRPr="0022563E">
          <w:rPr>
            <w:color w:val="1F6197" w:themeColor="accent1" w:themeShade="80"/>
            <w:sz w:val="20"/>
          </w:rPr>
          <w:t xml:space="preserve">          </w:t>
        </w:r>
        <w:sdt>
          <w:sdtPr>
            <w:id w:val="1727336575"/>
            <w:docPartObj>
              <w:docPartGallery w:val="Page Numbers (Top of Page)"/>
              <w:docPartUnique/>
            </w:docPartObj>
          </w:sdtPr>
          <w:sdtEndPr>
            <w:rPr>
              <w:color w:val="1F6197" w:themeColor="accent1" w:themeShade="80"/>
            </w:rPr>
          </w:sdtEndPr>
          <w:sdtContent>
            <w:r w:rsidR="001F42E8" w:rsidRPr="0022563E">
              <w:rPr>
                <w:bCs/>
                <w:color w:val="1F6197" w:themeColor="accent1" w:themeShade="80"/>
                <w:sz w:val="24"/>
                <w:szCs w:val="24"/>
              </w:rPr>
              <w:fldChar w:fldCharType="begin"/>
            </w:r>
            <w:r w:rsidR="001F42E8" w:rsidRPr="0022563E">
              <w:rPr>
                <w:bCs/>
                <w:color w:val="1F6197" w:themeColor="accent1" w:themeShade="80"/>
              </w:rPr>
              <w:instrText xml:space="preserve"> PAGE </w:instrText>
            </w:r>
            <w:r w:rsidR="001F42E8" w:rsidRPr="0022563E">
              <w:rPr>
                <w:bCs/>
                <w:color w:val="1F6197" w:themeColor="accent1" w:themeShade="80"/>
                <w:sz w:val="24"/>
                <w:szCs w:val="24"/>
              </w:rPr>
              <w:fldChar w:fldCharType="separate"/>
            </w:r>
            <w:r w:rsidR="00E016DD">
              <w:rPr>
                <w:bCs/>
                <w:noProof/>
                <w:color w:val="1F6197" w:themeColor="accent1" w:themeShade="80"/>
              </w:rPr>
              <w:t>2</w:t>
            </w:r>
            <w:r w:rsidR="001F42E8" w:rsidRPr="0022563E">
              <w:rPr>
                <w:bCs/>
                <w:color w:val="1F6197" w:themeColor="accent1" w:themeShade="80"/>
                <w:sz w:val="24"/>
                <w:szCs w:val="24"/>
              </w:rPr>
              <w:fldChar w:fldCharType="end"/>
            </w:r>
            <w:r w:rsidR="001F42E8" w:rsidRPr="0022563E">
              <w:rPr>
                <w:color w:val="1F6197" w:themeColor="accent1" w:themeShade="80"/>
              </w:rPr>
              <w:t xml:space="preserve"> of </w:t>
            </w:r>
            <w:r w:rsidR="001F42E8" w:rsidRPr="0022563E">
              <w:rPr>
                <w:bCs/>
                <w:color w:val="1F6197" w:themeColor="accent1" w:themeShade="80"/>
                <w:sz w:val="24"/>
                <w:szCs w:val="24"/>
              </w:rPr>
              <w:fldChar w:fldCharType="begin"/>
            </w:r>
            <w:r w:rsidR="001F42E8" w:rsidRPr="0022563E">
              <w:rPr>
                <w:bCs/>
                <w:color w:val="1F6197" w:themeColor="accent1" w:themeShade="80"/>
              </w:rPr>
              <w:instrText xml:space="preserve"> NUMPAGES  </w:instrText>
            </w:r>
            <w:r w:rsidR="001F42E8" w:rsidRPr="0022563E">
              <w:rPr>
                <w:bCs/>
                <w:color w:val="1F6197" w:themeColor="accent1" w:themeShade="80"/>
                <w:sz w:val="24"/>
                <w:szCs w:val="24"/>
              </w:rPr>
              <w:fldChar w:fldCharType="separate"/>
            </w:r>
            <w:r w:rsidR="00E016DD">
              <w:rPr>
                <w:bCs/>
                <w:noProof/>
                <w:color w:val="1F6197" w:themeColor="accent1" w:themeShade="80"/>
              </w:rPr>
              <w:t>8</w:t>
            </w:r>
            <w:r w:rsidR="001F42E8" w:rsidRPr="0022563E">
              <w:rPr>
                <w:bCs/>
                <w:color w:val="1F6197" w:themeColor="accent1" w:themeShade="80"/>
                <w:sz w:val="24"/>
                <w:szCs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660086"/>
      <w:docPartObj>
        <w:docPartGallery w:val="Page Numbers (Bottom of Page)"/>
        <w:docPartUnique/>
      </w:docPartObj>
    </w:sdtPr>
    <w:sdtEndPr>
      <w:rPr>
        <w:noProof/>
      </w:rPr>
    </w:sdtEndPr>
    <w:sdtContent>
      <w:sdt>
        <w:sdtPr>
          <w:id w:val="803583416"/>
          <w:docPartObj>
            <w:docPartGallery w:val="Page Numbers (Bottom of Page)"/>
            <w:docPartUnique/>
          </w:docPartObj>
        </w:sdtPr>
        <w:sdtEndPr>
          <w:rPr>
            <w:noProof/>
          </w:rPr>
        </w:sdtEndPr>
        <w:sdtContent>
          <w:sdt>
            <w:sdtPr>
              <w:id w:val="-1497574016"/>
              <w:docPartObj>
                <w:docPartGallery w:val="Page Numbers (Bottom of Page)"/>
                <w:docPartUnique/>
              </w:docPartObj>
            </w:sdtPr>
            <w:sdtEndPr>
              <w:rPr>
                <w:noProof/>
              </w:rPr>
            </w:sdtEndPr>
            <w:sdtContent>
              <w:p w14:paraId="43D67156" w14:textId="6DE2F3CC" w:rsidR="00850E53" w:rsidRPr="003F7FE3" w:rsidRDefault="003F7FE3" w:rsidP="001F42E8">
                <w:pPr>
                  <w:pStyle w:val="Footer"/>
                  <w:tabs>
                    <w:tab w:val="clear" w:pos="9360"/>
                    <w:tab w:val="right" w:pos="12960"/>
                  </w:tabs>
                  <w:rPr>
                    <w:color w:val="1F6197" w:themeColor="accent1" w:themeShade="80"/>
                    <w:sz w:val="20"/>
                  </w:rPr>
                </w:pPr>
                <w:r w:rsidRPr="003F7FE3">
                  <w:t xml:space="preserve"> </w:t>
                </w:r>
                <w:sdt>
                  <w:sdtPr>
                    <w:id w:val="-33192424"/>
                    <w:docPartObj>
                      <w:docPartGallery w:val="Page Numbers (Bottom of Page)"/>
                      <w:docPartUnique/>
                    </w:docPartObj>
                  </w:sdtPr>
                  <w:sdtEndPr/>
                  <w:sdtContent>
                    <w:sdt>
                      <w:sdtPr>
                        <w:id w:val="-1339694795"/>
                        <w:docPartObj>
                          <w:docPartGallery w:val="Page Numbers (Bottom of Page)"/>
                          <w:docPartUnique/>
                        </w:docPartObj>
                      </w:sdtPr>
                      <w:sdtEndPr/>
                      <w:sdtContent>
                        <w:sdt>
                          <w:sdtPr>
                            <w:id w:val="327021996"/>
                            <w:docPartObj>
                              <w:docPartGallery w:val="Page Numbers (Bottom of Page)"/>
                              <w:docPartUnique/>
                            </w:docPartObj>
                          </w:sdtPr>
                          <w:sdtEndPr/>
                          <w:sdtContent>
                            <w:sdt>
                              <w:sdtPr>
                                <w:id w:val="-301546173"/>
                                <w:docPartObj>
                                  <w:docPartGallery w:val="Page Numbers (Bottom of Page)"/>
                                  <w:docPartUnique/>
                                </w:docPartObj>
                              </w:sdtPr>
                              <w:sdtEndPr/>
                              <w:sdtContent>
                                <w:r w:rsidR="001F42E8" w:rsidRPr="0022563E">
                                  <w:rPr>
                                    <w:color w:val="1F6197" w:themeColor="accent1" w:themeShade="80"/>
                                    <w:sz w:val="20"/>
                                  </w:rPr>
                                  <w:t xml:space="preserve">© TEA    3/29/2017             </w:t>
                                </w:r>
                                <w:r w:rsidR="001F42E8">
                                  <w:rPr>
                                    <w:color w:val="1F6197" w:themeColor="accent1" w:themeShade="80"/>
                                    <w:sz w:val="20"/>
                                  </w:rPr>
                                  <w:t xml:space="preserve">  </w:t>
                                </w:r>
                                <w:r w:rsidR="001F42E8" w:rsidRPr="0022563E">
                                  <w:rPr>
                                    <w:color w:val="1F6197" w:themeColor="accent1" w:themeShade="80"/>
                                    <w:sz w:val="20"/>
                                  </w:rPr>
                                  <w:t xml:space="preserve"> </w:t>
                                </w:r>
                                <w:r w:rsidR="001F42E8">
                                  <w:rPr>
                                    <w:color w:val="1F6197" w:themeColor="accent1" w:themeShade="80"/>
                                    <w:sz w:val="20"/>
                                  </w:rPr>
                                  <w:t>Texas Equity Toolkit: Roadmap Reporting Template</w:t>
                                </w:r>
                                <w:r w:rsidR="001F42E8" w:rsidRPr="00257667">
                                  <w:rPr>
                                    <w:color w:val="1F6197" w:themeColor="accent1" w:themeShade="80"/>
                                    <w:sz w:val="20"/>
                                  </w:rPr>
                                  <w:t xml:space="preserve">  </w:t>
                                </w:r>
                                <w:r w:rsidR="001F42E8">
                                  <w:rPr>
                                    <w:color w:val="1F6197" w:themeColor="accent1" w:themeShade="80"/>
                                    <w:sz w:val="20"/>
                                  </w:rPr>
                                  <w:t xml:space="preserve">                     </w:t>
                                </w:r>
                                <w:r w:rsidR="001F42E8" w:rsidRPr="0022563E">
                                  <w:rPr>
                                    <w:color w:val="1F6197" w:themeColor="accent1" w:themeShade="80"/>
                                    <w:sz w:val="20"/>
                                  </w:rPr>
                                  <w:t xml:space="preserve">          </w:t>
                                </w:r>
                                <w:sdt>
                                  <w:sdtPr>
                                    <w:id w:val="-1617366667"/>
                                    <w:docPartObj>
                                      <w:docPartGallery w:val="Page Numbers (Top of Page)"/>
                                      <w:docPartUnique/>
                                    </w:docPartObj>
                                  </w:sdtPr>
                                  <w:sdtEndPr>
                                    <w:rPr>
                                      <w:color w:val="1F6197" w:themeColor="accent1" w:themeShade="80"/>
                                    </w:rPr>
                                  </w:sdtEndPr>
                                  <w:sdtContent>
                                    <w:r w:rsidR="001F42E8" w:rsidRPr="0022563E">
                                      <w:rPr>
                                        <w:bCs/>
                                        <w:color w:val="1F6197" w:themeColor="accent1" w:themeShade="80"/>
                                        <w:sz w:val="24"/>
                                        <w:szCs w:val="24"/>
                                      </w:rPr>
                                      <w:fldChar w:fldCharType="begin"/>
                                    </w:r>
                                    <w:r w:rsidR="001F42E8" w:rsidRPr="0022563E">
                                      <w:rPr>
                                        <w:bCs/>
                                        <w:color w:val="1F6197" w:themeColor="accent1" w:themeShade="80"/>
                                      </w:rPr>
                                      <w:instrText xml:space="preserve"> PAGE </w:instrText>
                                    </w:r>
                                    <w:r w:rsidR="001F42E8" w:rsidRPr="0022563E">
                                      <w:rPr>
                                        <w:bCs/>
                                        <w:color w:val="1F6197" w:themeColor="accent1" w:themeShade="80"/>
                                        <w:sz w:val="24"/>
                                        <w:szCs w:val="24"/>
                                      </w:rPr>
                                      <w:fldChar w:fldCharType="separate"/>
                                    </w:r>
                                    <w:r w:rsidR="00E016DD">
                                      <w:rPr>
                                        <w:bCs/>
                                        <w:noProof/>
                                        <w:color w:val="1F6197" w:themeColor="accent1" w:themeShade="80"/>
                                      </w:rPr>
                                      <w:t>1</w:t>
                                    </w:r>
                                    <w:r w:rsidR="001F42E8" w:rsidRPr="0022563E">
                                      <w:rPr>
                                        <w:bCs/>
                                        <w:color w:val="1F6197" w:themeColor="accent1" w:themeShade="80"/>
                                        <w:sz w:val="24"/>
                                        <w:szCs w:val="24"/>
                                      </w:rPr>
                                      <w:fldChar w:fldCharType="end"/>
                                    </w:r>
                                    <w:r w:rsidR="001F42E8" w:rsidRPr="0022563E">
                                      <w:rPr>
                                        <w:color w:val="1F6197" w:themeColor="accent1" w:themeShade="80"/>
                                      </w:rPr>
                                      <w:t xml:space="preserve"> of </w:t>
                                    </w:r>
                                    <w:r w:rsidR="001F42E8" w:rsidRPr="0022563E">
                                      <w:rPr>
                                        <w:bCs/>
                                        <w:color w:val="1F6197" w:themeColor="accent1" w:themeShade="80"/>
                                        <w:sz w:val="24"/>
                                        <w:szCs w:val="24"/>
                                      </w:rPr>
                                      <w:fldChar w:fldCharType="begin"/>
                                    </w:r>
                                    <w:r w:rsidR="001F42E8" w:rsidRPr="0022563E">
                                      <w:rPr>
                                        <w:bCs/>
                                        <w:color w:val="1F6197" w:themeColor="accent1" w:themeShade="80"/>
                                      </w:rPr>
                                      <w:instrText xml:space="preserve"> NUMPAGES  </w:instrText>
                                    </w:r>
                                    <w:r w:rsidR="001F42E8" w:rsidRPr="0022563E">
                                      <w:rPr>
                                        <w:bCs/>
                                        <w:color w:val="1F6197" w:themeColor="accent1" w:themeShade="80"/>
                                        <w:sz w:val="24"/>
                                        <w:szCs w:val="24"/>
                                      </w:rPr>
                                      <w:fldChar w:fldCharType="separate"/>
                                    </w:r>
                                    <w:r w:rsidR="00E016DD">
                                      <w:rPr>
                                        <w:bCs/>
                                        <w:noProof/>
                                        <w:color w:val="1F6197" w:themeColor="accent1" w:themeShade="80"/>
                                      </w:rPr>
                                      <w:t>8</w:t>
                                    </w:r>
                                    <w:r w:rsidR="001F42E8" w:rsidRPr="0022563E">
                                      <w:rPr>
                                        <w:bCs/>
                                        <w:color w:val="1F6197" w:themeColor="accent1" w:themeShade="80"/>
                                        <w:sz w:val="24"/>
                                        <w:szCs w:val="24"/>
                                      </w:rPr>
                                      <w:fldChar w:fldCharType="end"/>
                                    </w:r>
                                  </w:sdtContent>
                                </w:sdt>
                              </w:sdtContent>
                            </w:sdt>
                            <w:r w:rsidR="001F42E8">
                              <w:rPr>
                                <w:color w:val="1F6197" w:themeColor="accent1" w:themeShade="80"/>
                                <w:sz w:val="20"/>
                              </w:rPr>
                              <w:t xml:space="preserve"> </w:t>
                            </w:r>
                          </w:sdtContent>
                        </w:sdt>
                      </w:sdtContent>
                    </w:sdt>
                  </w:sdtContent>
                </w:sdt>
              </w:p>
            </w:sdtContent>
          </w:sdt>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5D700" w14:textId="60194D14" w:rsidR="00850E53" w:rsidRPr="001F42E8" w:rsidRDefault="003918B8" w:rsidP="001F42E8">
    <w:pPr>
      <w:pStyle w:val="Footer"/>
    </w:pPr>
    <w:sdt>
      <w:sdtPr>
        <w:id w:val="390388624"/>
        <w:docPartObj>
          <w:docPartGallery w:val="Page Numbers (Bottom of Page)"/>
          <w:docPartUnique/>
        </w:docPartObj>
      </w:sdtPr>
      <w:sdtEndPr/>
      <w:sdtContent>
        <w:r w:rsidR="001F42E8" w:rsidRPr="0022563E">
          <w:rPr>
            <w:color w:val="1F6197" w:themeColor="accent1" w:themeShade="80"/>
            <w:sz w:val="20"/>
          </w:rPr>
          <w:t xml:space="preserve">© TEA    3/29/2017             </w:t>
        </w:r>
        <w:r w:rsidR="001F42E8">
          <w:rPr>
            <w:color w:val="1F6197" w:themeColor="accent1" w:themeShade="80"/>
            <w:sz w:val="20"/>
          </w:rPr>
          <w:t xml:space="preserve">  </w:t>
        </w:r>
        <w:r w:rsidR="001F42E8" w:rsidRPr="0022563E">
          <w:rPr>
            <w:color w:val="1F6197" w:themeColor="accent1" w:themeShade="80"/>
            <w:sz w:val="20"/>
          </w:rPr>
          <w:t xml:space="preserve"> </w:t>
        </w:r>
        <w:r w:rsidR="001F42E8">
          <w:rPr>
            <w:color w:val="1F6197" w:themeColor="accent1" w:themeShade="80"/>
            <w:sz w:val="20"/>
          </w:rPr>
          <w:t>Texas Equity Toolkit: Roadmap Reporting Template</w:t>
        </w:r>
        <w:r w:rsidR="001F42E8" w:rsidRPr="00257667">
          <w:rPr>
            <w:color w:val="1F6197" w:themeColor="accent1" w:themeShade="80"/>
            <w:sz w:val="20"/>
          </w:rPr>
          <w:t xml:space="preserve">  </w:t>
        </w:r>
        <w:r w:rsidR="001F42E8">
          <w:rPr>
            <w:color w:val="1F6197" w:themeColor="accent1" w:themeShade="80"/>
            <w:sz w:val="20"/>
          </w:rPr>
          <w:t xml:space="preserve">                       </w:t>
        </w:r>
        <w:r w:rsidR="001F42E8" w:rsidRPr="0022563E">
          <w:rPr>
            <w:color w:val="1F6197" w:themeColor="accent1" w:themeShade="80"/>
            <w:sz w:val="20"/>
          </w:rPr>
          <w:t xml:space="preserve">          </w:t>
        </w:r>
        <w:sdt>
          <w:sdtPr>
            <w:id w:val="-1994166735"/>
            <w:docPartObj>
              <w:docPartGallery w:val="Page Numbers (Top of Page)"/>
              <w:docPartUnique/>
            </w:docPartObj>
          </w:sdtPr>
          <w:sdtEndPr>
            <w:rPr>
              <w:color w:val="1F6197" w:themeColor="accent1" w:themeShade="80"/>
            </w:rPr>
          </w:sdtEndPr>
          <w:sdtContent>
            <w:r w:rsidR="001F42E8" w:rsidRPr="0022563E">
              <w:rPr>
                <w:bCs/>
                <w:color w:val="1F6197" w:themeColor="accent1" w:themeShade="80"/>
                <w:sz w:val="24"/>
                <w:szCs w:val="24"/>
              </w:rPr>
              <w:fldChar w:fldCharType="begin"/>
            </w:r>
            <w:r w:rsidR="001F42E8" w:rsidRPr="0022563E">
              <w:rPr>
                <w:bCs/>
                <w:color w:val="1F6197" w:themeColor="accent1" w:themeShade="80"/>
              </w:rPr>
              <w:instrText xml:space="preserve"> PAGE </w:instrText>
            </w:r>
            <w:r w:rsidR="001F42E8" w:rsidRPr="0022563E">
              <w:rPr>
                <w:bCs/>
                <w:color w:val="1F6197" w:themeColor="accent1" w:themeShade="80"/>
                <w:sz w:val="24"/>
                <w:szCs w:val="24"/>
              </w:rPr>
              <w:fldChar w:fldCharType="separate"/>
            </w:r>
            <w:r w:rsidR="00E016DD">
              <w:rPr>
                <w:bCs/>
                <w:noProof/>
                <w:color w:val="1F6197" w:themeColor="accent1" w:themeShade="80"/>
              </w:rPr>
              <w:t>5</w:t>
            </w:r>
            <w:r w:rsidR="001F42E8" w:rsidRPr="0022563E">
              <w:rPr>
                <w:bCs/>
                <w:color w:val="1F6197" w:themeColor="accent1" w:themeShade="80"/>
                <w:sz w:val="24"/>
                <w:szCs w:val="24"/>
              </w:rPr>
              <w:fldChar w:fldCharType="end"/>
            </w:r>
            <w:r w:rsidR="001F42E8" w:rsidRPr="0022563E">
              <w:rPr>
                <w:color w:val="1F6197" w:themeColor="accent1" w:themeShade="80"/>
              </w:rPr>
              <w:t xml:space="preserve"> of </w:t>
            </w:r>
            <w:r w:rsidR="001F42E8" w:rsidRPr="0022563E">
              <w:rPr>
                <w:bCs/>
                <w:color w:val="1F6197" w:themeColor="accent1" w:themeShade="80"/>
                <w:sz w:val="24"/>
                <w:szCs w:val="24"/>
              </w:rPr>
              <w:fldChar w:fldCharType="begin"/>
            </w:r>
            <w:r w:rsidR="001F42E8" w:rsidRPr="0022563E">
              <w:rPr>
                <w:bCs/>
                <w:color w:val="1F6197" w:themeColor="accent1" w:themeShade="80"/>
              </w:rPr>
              <w:instrText xml:space="preserve"> NUMPAGES  </w:instrText>
            </w:r>
            <w:r w:rsidR="001F42E8" w:rsidRPr="0022563E">
              <w:rPr>
                <w:bCs/>
                <w:color w:val="1F6197" w:themeColor="accent1" w:themeShade="80"/>
                <w:sz w:val="24"/>
                <w:szCs w:val="24"/>
              </w:rPr>
              <w:fldChar w:fldCharType="separate"/>
            </w:r>
            <w:r w:rsidR="00E016DD">
              <w:rPr>
                <w:bCs/>
                <w:noProof/>
                <w:color w:val="1F6197" w:themeColor="accent1" w:themeShade="80"/>
              </w:rPr>
              <w:t>8</w:t>
            </w:r>
            <w:r w:rsidR="001F42E8" w:rsidRPr="0022563E">
              <w:rPr>
                <w:bCs/>
                <w:color w:val="1F6197" w:themeColor="accent1" w:themeShade="80"/>
                <w:sz w:val="24"/>
                <w:szCs w:val="24"/>
              </w:rPr>
              <w:fldChar w:fldCharType="end"/>
            </w:r>
          </w:sdtContent>
        </w:sdt>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E4E53" w14:textId="7E88F9C1" w:rsidR="00FA7BAC" w:rsidRDefault="003918B8" w:rsidP="00FA7BAC">
    <w:pPr>
      <w:pStyle w:val="Footer"/>
      <w:tabs>
        <w:tab w:val="clear" w:pos="9360"/>
        <w:tab w:val="right" w:pos="12960"/>
      </w:tabs>
    </w:pPr>
    <w:sdt>
      <w:sdtPr>
        <w:id w:val="1600834955"/>
        <w:docPartObj>
          <w:docPartGallery w:val="Page Numbers (Bottom of Page)"/>
          <w:docPartUnique/>
        </w:docPartObj>
      </w:sdtPr>
      <w:sdtEndPr/>
      <w:sdtContent>
        <w:r w:rsidR="001F42E8" w:rsidRPr="0022563E">
          <w:rPr>
            <w:color w:val="1F6197" w:themeColor="accent1" w:themeShade="80"/>
            <w:sz w:val="20"/>
          </w:rPr>
          <w:t xml:space="preserve">© TEA    3/29/2017             </w:t>
        </w:r>
        <w:r w:rsidR="001F42E8">
          <w:rPr>
            <w:color w:val="1F6197" w:themeColor="accent1" w:themeShade="80"/>
            <w:sz w:val="20"/>
          </w:rPr>
          <w:t xml:space="preserve">  </w:t>
        </w:r>
        <w:r w:rsidR="001F42E8" w:rsidRPr="0022563E">
          <w:rPr>
            <w:color w:val="1F6197" w:themeColor="accent1" w:themeShade="80"/>
            <w:sz w:val="20"/>
          </w:rPr>
          <w:t xml:space="preserve"> </w:t>
        </w:r>
        <w:r w:rsidR="001F42E8">
          <w:rPr>
            <w:color w:val="1F6197" w:themeColor="accent1" w:themeShade="80"/>
            <w:sz w:val="20"/>
          </w:rPr>
          <w:t>Texas Equity Toolkit: Roadmap Reporting Template</w:t>
        </w:r>
        <w:r w:rsidR="001F42E8" w:rsidRPr="00257667">
          <w:rPr>
            <w:color w:val="1F6197" w:themeColor="accent1" w:themeShade="80"/>
            <w:sz w:val="20"/>
          </w:rPr>
          <w:t xml:space="preserve">  </w:t>
        </w:r>
        <w:r w:rsidR="001F42E8">
          <w:rPr>
            <w:color w:val="1F6197" w:themeColor="accent1" w:themeShade="80"/>
            <w:sz w:val="20"/>
          </w:rPr>
          <w:t xml:space="preserve">                     </w:t>
        </w:r>
        <w:r w:rsidR="001F42E8" w:rsidRPr="0022563E">
          <w:rPr>
            <w:color w:val="1F6197" w:themeColor="accent1" w:themeShade="80"/>
            <w:sz w:val="20"/>
          </w:rPr>
          <w:t xml:space="preserve">          </w:t>
        </w:r>
        <w:sdt>
          <w:sdtPr>
            <w:id w:val="-1117527001"/>
            <w:docPartObj>
              <w:docPartGallery w:val="Page Numbers (Top of Page)"/>
              <w:docPartUnique/>
            </w:docPartObj>
          </w:sdtPr>
          <w:sdtEndPr>
            <w:rPr>
              <w:color w:val="1F6197" w:themeColor="accent1" w:themeShade="80"/>
            </w:rPr>
          </w:sdtEndPr>
          <w:sdtContent>
            <w:r w:rsidR="001F42E8" w:rsidRPr="0022563E">
              <w:rPr>
                <w:bCs/>
                <w:color w:val="1F6197" w:themeColor="accent1" w:themeShade="80"/>
                <w:sz w:val="24"/>
                <w:szCs w:val="24"/>
              </w:rPr>
              <w:fldChar w:fldCharType="begin"/>
            </w:r>
            <w:r w:rsidR="001F42E8" w:rsidRPr="0022563E">
              <w:rPr>
                <w:bCs/>
                <w:color w:val="1F6197" w:themeColor="accent1" w:themeShade="80"/>
              </w:rPr>
              <w:instrText xml:space="preserve"> PAGE </w:instrText>
            </w:r>
            <w:r w:rsidR="001F42E8" w:rsidRPr="0022563E">
              <w:rPr>
                <w:bCs/>
                <w:color w:val="1F6197" w:themeColor="accent1" w:themeShade="80"/>
                <w:sz w:val="24"/>
                <w:szCs w:val="24"/>
              </w:rPr>
              <w:fldChar w:fldCharType="separate"/>
            </w:r>
            <w:r w:rsidR="00E016DD">
              <w:rPr>
                <w:bCs/>
                <w:noProof/>
                <w:color w:val="1F6197" w:themeColor="accent1" w:themeShade="80"/>
              </w:rPr>
              <w:t>8</w:t>
            </w:r>
            <w:r w:rsidR="001F42E8" w:rsidRPr="0022563E">
              <w:rPr>
                <w:bCs/>
                <w:color w:val="1F6197" w:themeColor="accent1" w:themeShade="80"/>
                <w:sz w:val="24"/>
                <w:szCs w:val="24"/>
              </w:rPr>
              <w:fldChar w:fldCharType="end"/>
            </w:r>
            <w:r w:rsidR="001F42E8" w:rsidRPr="0022563E">
              <w:rPr>
                <w:color w:val="1F6197" w:themeColor="accent1" w:themeShade="80"/>
              </w:rPr>
              <w:t xml:space="preserve"> of </w:t>
            </w:r>
            <w:r w:rsidR="001F42E8" w:rsidRPr="0022563E">
              <w:rPr>
                <w:bCs/>
                <w:color w:val="1F6197" w:themeColor="accent1" w:themeShade="80"/>
                <w:sz w:val="24"/>
                <w:szCs w:val="24"/>
              </w:rPr>
              <w:fldChar w:fldCharType="begin"/>
            </w:r>
            <w:r w:rsidR="001F42E8" w:rsidRPr="0022563E">
              <w:rPr>
                <w:bCs/>
                <w:color w:val="1F6197" w:themeColor="accent1" w:themeShade="80"/>
              </w:rPr>
              <w:instrText xml:space="preserve"> NUMPAGES  </w:instrText>
            </w:r>
            <w:r w:rsidR="001F42E8" w:rsidRPr="0022563E">
              <w:rPr>
                <w:bCs/>
                <w:color w:val="1F6197" w:themeColor="accent1" w:themeShade="80"/>
                <w:sz w:val="24"/>
                <w:szCs w:val="24"/>
              </w:rPr>
              <w:fldChar w:fldCharType="separate"/>
            </w:r>
            <w:r w:rsidR="00E016DD">
              <w:rPr>
                <w:bCs/>
                <w:noProof/>
                <w:color w:val="1F6197" w:themeColor="accent1" w:themeShade="80"/>
              </w:rPr>
              <w:t>8</w:t>
            </w:r>
            <w:r w:rsidR="001F42E8" w:rsidRPr="0022563E">
              <w:rPr>
                <w:bCs/>
                <w:color w:val="1F6197" w:themeColor="accent1" w:themeShade="80"/>
                <w:sz w:val="24"/>
                <w:szCs w:val="24"/>
              </w:rPr>
              <w:fldChar w:fldCharType="end"/>
            </w:r>
          </w:sdtContent>
        </w:sdt>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079396"/>
      <w:docPartObj>
        <w:docPartGallery w:val="Page Numbers (Bottom of Page)"/>
        <w:docPartUnique/>
      </w:docPartObj>
    </w:sdtPr>
    <w:sdtEndPr>
      <w:rPr>
        <w:noProof/>
      </w:rPr>
    </w:sdtEndPr>
    <w:sdtContent>
      <w:sdt>
        <w:sdtPr>
          <w:id w:val="-196240966"/>
          <w:docPartObj>
            <w:docPartGallery w:val="Page Numbers (Bottom of Page)"/>
            <w:docPartUnique/>
          </w:docPartObj>
        </w:sdtPr>
        <w:sdtEndPr>
          <w:rPr>
            <w:noProof/>
          </w:rPr>
        </w:sdtEndPr>
        <w:sdtContent>
          <w:sdt>
            <w:sdtPr>
              <w:id w:val="-428741540"/>
              <w:docPartObj>
                <w:docPartGallery w:val="Page Numbers (Bottom of Page)"/>
                <w:docPartUnique/>
              </w:docPartObj>
            </w:sdtPr>
            <w:sdtEndPr>
              <w:rPr>
                <w:noProof/>
              </w:rPr>
            </w:sdtEndPr>
            <w:sdtContent>
              <w:p w14:paraId="54140D96" w14:textId="2C9BE0AC" w:rsidR="00665DD5" w:rsidRPr="00FA7BAC" w:rsidRDefault="003918B8" w:rsidP="00FA7BAC">
                <w:pPr>
                  <w:pStyle w:val="Footer"/>
                  <w:tabs>
                    <w:tab w:val="clear" w:pos="9360"/>
                    <w:tab w:val="right" w:pos="12960"/>
                  </w:tabs>
                  <w:rPr>
                    <w:color w:val="1F6197" w:themeColor="accent1" w:themeShade="80"/>
                    <w:sz w:val="20"/>
                  </w:rPr>
                </w:pPr>
                <w:sdt>
                  <w:sdtPr>
                    <w:id w:val="1850679156"/>
                    <w:docPartObj>
                      <w:docPartGallery w:val="Page Numbers (Bottom of Page)"/>
                      <w:docPartUnique/>
                    </w:docPartObj>
                  </w:sdtPr>
                  <w:sdtEndPr/>
                  <w:sdtContent>
                    <w:r w:rsidR="001F42E8" w:rsidRPr="0022563E">
                      <w:rPr>
                        <w:color w:val="1F6197" w:themeColor="accent1" w:themeShade="80"/>
                        <w:sz w:val="20"/>
                      </w:rPr>
                      <w:t xml:space="preserve">© TEA    3/29/2017             </w:t>
                    </w:r>
                    <w:r w:rsidR="001F42E8">
                      <w:rPr>
                        <w:color w:val="1F6197" w:themeColor="accent1" w:themeShade="80"/>
                        <w:sz w:val="20"/>
                      </w:rPr>
                      <w:t xml:space="preserve">  </w:t>
                    </w:r>
                    <w:r w:rsidR="001F42E8" w:rsidRPr="0022563E">
                      <w:rPr>
                        <w:color w:val="1F6197" w:themeColor="accent1" w:themeShade="80"/>
                        <w:sz w:val="20"/>
                      </w:rPr>
                      <w:t xml:space="preserve"> </w:t>
                    </w:r>
                    <w:r w:rsidR="001F42E8">
                      <w:rPr>
                        <w:color w:val="1F6197" w:themeColor="accent1" w:themeShade="80"/>
                        <w:sz w:val="20"/>
                      </w:rPr>
                      <w:t>Texas Equity Toolkit: Roadmap Reporting Template</w:t>
                    </w:r>
                    <w:r w:rsidR="001F42E8" w:rsidRPr="00257667">
                      <w:rPr>
                        <w:color w:val="1F6197" w:themeColor="accent1" w:themeShade="80"/>
                        <w:sz w:val="20"/>
                      </w:rPr>
                      <w:t xml:space="preserve">  </w:t>
                    </w:r>
                    <w:r w:rsidR="001F42E8">
                      <w:rPr>
                        <w:color w:val="1F6197" w:themeColor="accent1" w:themeShade="80"/>
                        <w:sz w:val="20"/>
                      </w:rPr>
                      <w:t xml:space="preserve">                     </w:t>
                    </w:r>
                    <w:r w:rsidR="001F42E8" w:rsidRPr="0022563E">
                      <w:rPr>
                        <w:color w:val="1F6197" w:themeColor="accent1" w:themeShade="80"/>
                        <w:sz w:val="20"/>
                      </w:rPr>
                      <w:t xml:space="preserve">          </w:t>
                    </w:r>
                    <w:sdt>
                      <w:sdtPr>
                        <w:id w:val="-471367394"/>
                        <w:docPartObj>
                          <w:docPartGallery w:val="Page Numbers (Top of Page)"/>
                          <w:docPartUnique/>
                        </w:docPartObj>
                      </w:sdtPr>
                      <w:sdtEndPr>
                        <w:rPr>
                          <w:color w:val="1F6197" w:themeColor="accent1" w:themeShade="80"/>
                        </w:rPr>
                      </w:sdtEndPr>
                      <w:sdtContent>
                        <w:r w:rsidR="001F42E8" w:rsidRPr="0022563E">
                          <w:rPr>
                            <w:bCs/>
                            <w:color w:val="1F6197" w:themeColor="accent1" w:themeShade="80"/>
                            <w:sz w:val="24"/>
                            <w:szCs w:val="24"/>
                          </w:rPr>
                          <w:fldChar w:fldCharType="begin"/>
                        </w:r>
                        <w:r w:rsidR="001F42E8" w:rsidRPr="0022563E">
                          <w:rPr>
                            <w:bCs/>
                            <w:color w:val="1F6197" w:themeColor="accent1" w:themeShade="80"/>
                          </w:rPr>
                          <w:instrText xml:space="preserve"> PAGE </w:instrText>
                        </w:r>
                        <w:r w:rsidR="001F42E8" w:rsidRPr="0022563E">
                          <w:rPr>
                            <w:bCs/>
                            <w:color w:val="1F6197" w:themeColor="accent1" w:themeShade="80"/>
                            <w:sz w:val="24"/>
                            <w:szCs w:val="24"/>
                          </w:rPr>
                          <w:fldChar w:fldCharType="separate"/>
                        </w:r>
                        <w:r w:rsidR="00E016DD">
                          <w:rPr>
                            <w:bCs/>
                            <w:noProof/>
                            <w:color w:val="1F6197" w:themeColor="accent1" w:themeShade="80"/>
                          </w:rPr>
                          <w:t>7</w:t>
                        </w:r>
                        <w:r w:rsidR="001F42E8" w:rsidRPr="0022563E">
                          <w:rPr>
                            <w:bCs/>
                            <w:color w:val="1F6197" w:themeColor="accent1" w:themeShade="80"/>
                            <w:sz w:val="24"/>
                            <w:szCs w:val="24"/>
                          </w:rPr>
                          <w:fldChar w:fldCharType="end"/>
                        </w:r>
                        <w:r w:rsidR="001F42E8" w:rsidRPr="0022563E">
                          <w:rPr>
                            <w:color w:val="1F6197" w:themeColor="accent1" w:themeShade="80"/>
                          </w:rPr>
                          <w:t xml:space="preserve"> of </w:t>
                        </w:r>
                        <w:r w:rsidR="001F42E8" w:rsidRPr="0022563E">
                          <w:rPr>
                            <w:bCs/>
                            <w:color w:val="1F6197" w:themeColor="accent1" w:themeShade="80"/>
                            <w:sz w:val="24"/>
                            <w:szCs w:val="24"/>
                          </w:rPr>
                          <w:fldChar w:fldCharType="begin"/>
                        </w:r>
                        <w:r w:rsidR="001F42E8" w:rsidRPr="0022563E">
                          <w:rPr>
                            <w:bCs/>
                            <w:color w:val="1F6197" w:themeColor="accent1" w:themeShade="80"/>
                          </w:rPr>
                          <w:instrText xml:space="preserve"> NUMPAGES  </w:instrText>
                        </w:r>
                        <w:r w:rsidR="001F42E8" w:rsidRPr="0022563E">
                          <w:rPr>
                            <w:bCs/>
                            <w:color w:val="1F6197" w:themeColor="accent1" w:themeShade="80"/>
                            <w:sz w:val="24"/>
                            <w:szCs w:val="24"/>
                          </w:rPr>
                          <w:fldChar w:fldCharType="separate"/>
                        </w:r>
                        <w:r w:rsidR="00E016DD">
                          <w:rPr>
                            <w:bCs/>
                            <w:noProof/>
                            <w:color w:val="1F6197" w:themeColor="accent1" w:themeShade="80"/>
                          </w:rPr>
                          <w:t>8</w:t>
                        </w:r>
                        <w:r w:rsidR="001F42E8" w:rsidRPr="0022563E">
                          <w:rPr>
                            <w:bCs/>
                            <w:color w:val="1F6197" w:themeColor="accent1" w:themeShade="80"/>
                            <w:sz w:val="24"/>
                            <w:szCs w:val="24"/>
                          </w:rPr>
                          <w:fldChar w:fldCharType="end"/>
                        </w:r>
                      </w:sdtContent>
                    </w:sdt>
                  </w:sdtContent>
                </w:sdt>
              </w:p>
              <w:p w14:paraId="7C3A8CFA" w14:textId="11E74EEB" w:rsidR="00665DD5" w:rsidRPr="00665DD5" w:rsidRDefault="003918B8" w:rsidP="00665DD5">
                <w:pPr>
                  <w:pStyle w:val="Footer"/>
                  <w:tabs>
                    <w:tab w:val="clear" w:pos="4680"/>
                    <w:tab w:val="clear" w:pos="9360"/>
                    <w:tab w:val="left" w:pos="5828"/>
                    <w:tab w:val="right" w:pos="12960"/>
                  </w:tabs>
                </w:pP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0FEFC" w14:textId="77777777" w:rsidR="003918B8" w:rsidRPr="00463516" w:rsidRDefault="003918B8" w:rsidP="00463516">
      <w:pPr>
        <w:spacing w:after="60" w:line="240" w:lineRule="auto"/>
        <w:rPr>
          <w:sz w:val="18"/>
        </w:rPr>
      </w:pPr>
      <w:r w:rsidRPr="00463516">
        <w:rPr>
          <w:sz w:val="18"/>
        </w:rPr>
        <w:separator/>
      </w:r>
    </w:p>
  </w:footnote>
  <w:footnote w:type="continuationSeparator" w:id="0">
    <w:p w14:paraId="12A97B27" w14:textId="77777777" w:rsidR="003918B8" w:rsidRPr="00105D23" w:rsidRDefault="003918B8" w:rsidP="00105D23">
      <w:pPr>
        <w:spacing w:after="60" w:line="240" w:lineRule="auto"/>
        <w:rPr>
          <w:sz w:val="18"/>
        </w:rPr>
      </w:pPr>
      <w:r w:rsidRPr="00105D23">
        <w:rPr>
          <w:sz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6152E" w14:textId="77777777" w:rsidR="00850E53" w:rsidRDefault="003918B8" w:rsidP="00850E53">
    <w:pPr>
      <w:pStyle w:val="Header"/>
    </w:pPr>
    <w:r>
      <w:rPr>
        <w:noProof/>
      </w:rPr>
      <w:pict w14:anchorId="6A8351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4" type="#_x0000_t136" style="position:absolute;margin-left:0;margin-top:0;width:494.9pt;height:164.95pt;rotation:315;z-index:-251657216;mso-wrap-edited:f;mso-position-horizontal:center;mso-position-horizontal-relative:margin;mso-position-vertical:center;mso-position-vertical-relative:margin"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744F9" w14:textId="78C5A5EC" w:rsidR="00850E53" w:rsidRPr="000F64BB" w:rsidRDefault="008A33BD" w:rsidP="000F64BB">
    <w:pPr>
      <w:pStyle w:val="Header"/>
    </w:pPr>
    <w:r>
      <w:rPr>
        <w:noProof/>
      </w:rPr>
      <w:drawing>
        <wp:anchor distT="0" distB="0" distL="114300" distR="114300" simplePos="0" relativeHeight="251658240" behindDoc="0" locked="0" layoutInCell="1" allowOverlap="1" wp14:anchorId="517B47E5" wp14:editId="2C5EECCC">
          <wp:simplePos x="0" y="0"/>
          <wp:positionH relativeFrom="column">
            <wp:posOffset>4900930</wp:posOffset>
          </wp:positionH>
          <wp:positionV relativeFrom="paragraph">
            <wp:posOffset>-73025</wp:posOffset>
          </wp:positionV>
          <wp:extent cx="1152144" cy="5760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52144" cy="576072"/>
                  </a:xfrm>
                  <a:prstGeom prst="rect">
                    <a:avLst/>
                  </a:prstGeom>
                  <a:noFill/>
                </pic:spPr>
              </pic:pic>
            </a:graphicData>
          </a:graphic>
          <wp14:sizeRelH relativeFrom="page">
            <wp14:pctWidth>0</wp14:pctWidth>
          </wp14:sizeRelH>
          <wp14:sizeRelV relativeFrom="margin">
            <wp14:pctHeight>0</wp14:pctHeight>
          </wp14:sizeRelV>
        </wp:anchor>
      </w:drawing>
    </w:r>
    <w:r w:rsidR="00373346" w:rsidRPr="003A17D5">
      <w:rPr>
        <w:noProof/>
      </w:rPr>
      <w:drawing>
        <wp:anchor distT="0" distB="0" distL="114300" distR="114300" simplePos="0" relativeHeight="251657216" behindDoc="0" locked="0" layoutInCell="1" allowOverlap="1" wp14:anchorId="6A343EFE" wp14:editId="2E700CC8">
          <wp:simplePos x="0" y="0"/>
          <wp:positionH relativeFrom="column">
            <wp:posOffset>-457200</wp:posOffset>
          </wp:positionH>
          <wp:positionV relativeFrom="paragraph">
            <wp:posOffset>-128270</wp:posOffset>
          </wp:positionV>
          <wp:extent cx="1901952" cy="667512"/>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TEA_logo-steel-tea.png"/>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901952" cy="6675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4E1B">
      <w:rPr>
        <w:noProof/>
      </w:rPr>
      <mc:AlternateContent>
        <mc:Choice Requires="wps">
          <w:drawing>
            <wp:anchor distT="0" distB="0" distL="114300" distR="114300" simplePos="0" relativeHeight="251656192" behindDoc="0" locked="0" layoutInCell="1" allowOverlap="1" wp14:anchorId="0716B42B" wp14:editId="34884E17">
              <wp:simplePos x="0" y="0"/>
              <wp:positionH relativeFrom="column">
                <wp:posOffset>-466090</wp:posOffset>
              </wp:positionH>
              <wp:positionV relativeFrom="paragraph">
                <wp:posOffset>-190500</wp:posOffset>
              </wp:positionV>
              <wp:extent cx="8833104" cy="822960"/>
              <wp:effectExtent l="0" t="0" r="25400" b="15240"/>
              <wp:wrapTopAndBottom/>
              <wp:docPr id="232" name="Rounded Rectangle 232"/>
              <wp:cNvGraphicFramePr/>
              <a:graphic xmlns:a="http://schemas.openxmlformats.org/drawingml/2006/main">
                <a:graphicData uri="http://schemas.microsoft.com/office/word/2010/wordprocessingShape">
                  <wps:wsp>
                    <wps:cNvSpPr/>
                    <wps:spPr>
                      <a:xfrm>
                        <a:off x="0" y="0"/>
                        <a:ext cx="8833104" cy="822960"/>
                      </a:xfrm>
                      <a:prstGeom prst="roundRect">
                        <a:avLst>
                          <a:gd name="adj" fmla="val 50000"/>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7AF852" id="Rounded Rectangle 232" o:spid="_x0000_s1026" style="position:absolute;margin-left:-36.7pt;margin-top:-15pt;width:695.5pt;height:64.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" fillcolor="#00437b [3208]" strokecolor="#1f6096 [1604]" strokeweight="1pt">
              <v:stroke joinstyle="miter"/>
              <w10:wrap type="topAndBottom"/>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A9455" w14:textId="77777777" w:rsidR="00850E53" w:rsidRDefault="00850E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D61C7" w14:textId="244B3E5C" w:rsidR="00850E53" w:rsidRDefault="00850E53" w:rsidP="004A5A3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EDAD0" w14:textId="7FD1F80A" w:rsidR="00850E53" w:rsidRPr="00564F6A" w:rsidRDefault="00850E53" w:rsidP="00564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48F8"/>
    <w:multiLevelType w:val="hybridMultilevel"/>
    <w:tmpl w:val="1730D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3518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D8F2B6C"/>
    <w:multiLevelType w:val="hybridMultilevel"/>
    <w:tmpl w:val="F5DA5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E3860"/>
    <w:multiLevelType w:val="hybridMultilevel"/>
    <w:tmpl w:val="7970427E"/>
    <w:lvl w:ilvl="0" w:tplc="2A6864E4">
      <w:start w:val="1"/>
      <w:numFmt w:val="bullet"/>
      <w:pStyle w:val="Checkmarkbulletlist"/>
      <w:lvlText w:val=""/>
      <w:lvlJc w:val="left"/>
      <w:pPr>
        <w:ind w:left="1080" w:hanging="360"/>
      </w:pPr>
      <w:rPr>
        <w:rFonts w:ascii="Wingdings" w:hAnsi="Wingdings" w:hint="default"/>
        <w:b w:val="0"/>
        <w:i w:val="0"/>
        <w:color w:val="3A8FD6" w:themeColor="accent1"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486364"/>
    <w:multiLevelType w:val="multilevel"/>
    <w:tmpl w:val="3446C638"/>
    <w:lvl w:ilvl="0">
      <w:start w:val="1"/>
      <w:numFmt w:val="decimal"/>
      <w:pStyle w:val="NumberedList"/>
      <w:lvlText w:val="%1."/>
      <w:lvlJc w:val="left"/>
      <w:pPr>
        <w:ind w:left="2160" w:hanging="360"/>
      </w:pPr>
      <w:rPr>
        <w:rFonts w:asciiTheme="minorHAnsi" w:hAnsiTheme="minorHAnsi" w:hint="default"/>
      </w:rPr>
    </w:lvl>
    <w:lvl w:ilvl="1">
      <w:start w:val="1"/>
      <w:numFmt w:val="lowerLetter"/>
      <w:lvlText w:val="%2."/>
      <w:lvlJc w:val="left"/>
      <w:pPr>
        <w:ind w:left="144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5" w15:restartNumberingAfterBreak="0">
    <w:nsid w:val="3851347A"/>
    <w:multiLevelType w:val="hybridMultilevel"/>
    <w:tmpl w:val="07720E70"/>
    <w:lvl w:ilvl="0" w:tplc="4990A5CE">
      <w:start w:val="1"/>
      <w:numFmt w:val="bullet"/>
      <w:pStyle w:val="Bullet1"/>
      <w:lvlText w:val=""/>
      <w:lvlJc w:val="left"/>
      <w:pPr>
        <w:ind w:left="720" w:hanging="360"/>
      </w:pPr>
      <w:rPr>
        <w:rFonts w:ascii="Symbol" w:hAnsi="Symbol" w:hint="default"/>
        <w:color w:val="3A8FD6" w:themeColor="accent1" w:themeShade="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7F1524"/>
    <w:multiLevelType w:val="multilevel"/>
    <w:tmpl w:val="99526938"/>
    <w:styleLink w:val="AIRBullet"/>
    <w:lvl w:ilvl="0">
      <w:start w:val="1"/>
      <w:numFmt w:val="bullet"/>
      <w:lvlText w:val=""/>
      <w:lvlJc w:val="left"/>
      <w:pPr>
        <w:ind w:left="720" w:hanging="360"/>
      </w:pPr>
      <w:rPr>
        <w:rFonts w:ascii="Wingdings" w:hAnsi="Wingdings" w:hint="default"/>
        <w:b w:val="0"/>
        <w:i w:val="0"/>
        <w:color w:val="000000" w:themeColor="text1"/>
        <w:sz w:val="24"/>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440" w:hanging="360"/>
      </w:pPr>
      <w:rPr>
        <w:rFonts w:ascii="Wingdings" w:hAnsi="Wingdings" w:hint="default"/>
        <w:b w:val="0"/>
        <w:i w:val="0"/>
        <w:sz w:val="12"/>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7" w15:restartNumberingAfterBreak="0">
    <w:nsid w:val="400708BD"/>
    <w:multiLevelType w:val="hybridMultilevel"/>
    <w:tmpl w:val="EC229672"/>
    <w:lvl w:ilvl="0" w:tplc="703056E4">
      <w:start w:val="1"/>
      <w:numFmt w:val="decimal"/>
      <w:pStyle w:val="TableNumberedList"/>
      <w:lvlText w:val="%1."/>
      <w:lvlJc w:val="left"/>
      <w:pPr>
        <w:ind w:left="360" w:hanging="360"/>
      </w:pPr>
      <w:rPr>
        <w:rFonts w:ascii="Arial" w:hAnsi="Arial" w:hint="default"/>
        <w:b w:val="0"/>
        <w:i w:val="0"/>
        <w:color w:val="auto"/>
        <w:sz w:val="20"/>
        <w:szCs w:val="32"/>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8" w15:restartNumberingAfterBreak="0">
    <w:nsid w:val="47832074"/>
    <w:multiLevelType w:val="multilevel"/>
    <w:tmpl w:val="8CD2D500"/>
    <w:lvl w:ilvl="0">
      <w:start w:val="1"/>
      <w:numFmt w:val="bullet"/>
      <w:pStyle w:val="TableBullet"/>
      <w:lvlText w:val=""/>
      <w:lvlJc w:val="left"/>
      <w:pPr>
        <w:ind w:left="72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383022C"/>
    <w:multiLevelType w:val="hybridMultilevel"/>
    <w:tmpl w:val="E46C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431240"/>
    <w:multiLevelType w:val="hybridMultilevel"/>
    <w:tmpl w:val="1098F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EF0AC0"/>
    <w:multiLevelType w:val="hybridMultilevel"/>
    <w:tmpl w:val="50AAF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5A17AE"/>
    <w:multiLevelType w:val="hybridMultilevel"/>
    <w:tmpl w:val="5A6E9398"/>
    <w:lvl w:ilvl="0" w:tplc="2B861E8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CA0504"/>
    <w:multiLevelType w:val="hybridMultilevel"/>
    <w:tmpl w:val="3074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4"/>
  </w:num>
  <w:num w:numId="5">
    <w:abstractNumId w:val="12"/>
  </w:num>
  <w:num w:numId="6">
    <w:abstractNumId w:val="7"/>
  </w:num>
  <w:num w:numId="7">
    <w:abstractNumId w:val="3"/>
  </w:num>
  <w:num w:numId="8">
    <w:abstractNumId w:val="10"/>
  </w:num>
  <w:num w:numId="9">
    <w:abstractNumId w:val="9"/>
  </w:num>
  <w:num w:numId="10">
    <w:abstractNumId w:val="11"/>
  </w:num>
  <w:num w:numId="11">
    <w:abstractNumId w:val="2"/>
  </w:num>
  <w:num w:numId="12">
    <w:abstractNumId w:val="0"/>
  </w:num>
  <w:num w:numId="13">
    <w:abstractNumId w:val="13"/>
  </w:num>
  <w:num w:numId="1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11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325"/>
    <w:rsid w:val="0001354A"/>
    <w:rsid w:val="0001770A"/>
    <w:rsid w:val="00020065"/>
    <w:rsid w:val="00027202"/>
    <w:rsid w:val="000333E4"/>
    <w:rsid w:val="000355E3"/>
    <w:rsid w:val="000406DF"/>
    <w:rsid w:val="0004229A"/>
    <w:rsid w:val="0005140A"/>
    <w:rsid w:val="0006108A"/>
    <w:rsid w:val="00063BAA"/>
    <w:rsid w:val="00066E7C"/>
    <w:rsid w:val="000825EB"/>
    <w:rsid w:val="000926D9"/>
    <w:rsid w:val="00095849"/>
    <w:rsid w:val="000A11C3"/>
    <w:rsid w:val="000A5199"/>
    <w:rsid w:val="000B0AA4"/>
    <w:rsid w:val="000C048A"/>
    <w:rsid w:val="000C2BFA"/>
    <w:rsid w:val="000C6258"/>
    <w:rsid w:val="000D7516"/>
    <w:rsid w:val="000E10BE"/>
    <w:rsid w:val="000E1325"/>
    <w:rsid w:val="000E3F8E"/>
    <w:rsid w:val="000E76EF"/>
    <w:rsid w:val="000F25A0"/>
    <w:rsid w:val="000F4B05"/>
    <w:rsid w:val="000F6356"/>
    <w:rsid w:val="000F64BB"/>
    <w:rsid w:val="00100DCD"/>
    <w:rsid w:val="00103BC2"/>
    <w:rsid w:val="00105D23"/>
    <w:rsid w:val="001105E2"/>
    <w:rsid w:val="00117362"/>
    <w:rsid w:val="0012041E"/>
    <w:rsid w:val="00126248"/>
    <w:rsid w:val="00135AFD"/>
    <w:rsid w:val="00140B3D"/>
    <w:rsid w:val="00145ED2"/>
    <w:rsid w:val="00146B50"/>
    <w:rsid w:val="00147836"/>
    <w:rsid w:val="00151464"/>
    <w:rsid w:val="00161C19"/>
    <w:rsid w:val="00163282"/>
    <w:rsid w:val="00163435"/>
    <w:rsid w:val="00167A39"/>
    <w:rsid w:val="00177354"/>
    <w:rsid w:val="0018419D"/>
    <w:rsid w:val="00196D44"/>
    <w:rsid w:val="001A0C59"/>
    <w:rsid w:val="001B12D4"/>
    <w:rsid w:val="001B22FF"/>
    <w:rsid w:val="001B249C"/>
    <w:rsid w:val="001B2576"/>
    <w:rsid w:val="001C5345"/>
    <w:rsid w:val="001D55D1"/>
    <w:rsid w:val="001E3D76"/>
    <w:rsid w:val="001F3632"/>
    <w:rsid w:val="001F42E8"/>
    <w:rsid w:val="001F65B2"/>
    <w:rsid w:val="00203933"/>
    <w:rsid w:val="00215B29"/>
    <w:rsid w:val="00224568"/>
    <w:rsid w:val="00224ACB"/>
    <w:rsid w:val="0022752A"/>
    <w:rsid w:val="002334D4"/>
    <w:rsid w:val="00233EFC"/>
    <w:rsid w:val="002570E4"/>
    <w:rsid w:val="00263311"/>
    <w:rsid w:val="00265081"/>
    <w:rsid w:val="0026548D"/>
    <w:rsid w:val="00266905"/>
    <w:rsid w:val="00270AB1"/>
    <w:rsid w:val="002800BD"/>
    <w:rsid w:val="0029472E"/>
    <w:rsid w:val="00297030"/>
    <w:rsid w:val="00297140"/>
    <w:rsid w:val="002A3352"/>
    <w:rsid w:val="002A5D69"/>
    <w:rsid w:val="002A666A"/>
    <w:rsid w:val="002A713D"/>
    <w:rsid w:val="002C3BA3"/>
    <w:rsid w:val="002C3C4F"/>
    <w:rsid w:val="002D1411"/>
    <w:rsid w:val="002D2CB5"/>
    <w:rsid w:val="002D5F7B"/>
    <w:rsid w:val="002E3B58"/>
    <w:rsid w:val="002E516B"/>
    <w:rsid w:val="002F480C"/>
    <w:rsid w:val="002F55CE"/>
    <w:rsid w:val="002F5738"/>
    <w:rsid w:val="00304970"/>
    <w:rsid w:val="003407E1"/>
    <w:rsid w:val="00340D0F"/>
    <w:rsid w:val="00346098"/>
    <w:rsid w:val="00346BE8"/>
    <w:rsid w:val="00361F06"/>
    <w:rsid w:val="00362021"/>
    <w:rsid w:val="00367071"/>
    <w:rsid w:val="00367101"/>
    <w:rsid w:val="00373204"/>
    <w:rsid w:val="00373346"/>
    <w:rsid w:val="00376217"/>
    <w:rsid w:val="00381C97"/>
    <w:rsid w:val="00387415"/>
    <w:rsid w:val="003918B8"/>
    <w:rsid w:val="00395637"/>
    <w:rsid w:val="003A4E97"/>
    <w:rsid w:val="003A52E3"/>
    <w:rsid w:val="003B282C"/>
    <w:rsid w:val="003B4F30"/>
    <w:rsid w:val="003B6EA4"/>
    <w:rsid w:val="003C32EA"/>
    <w:rsid w:val="003C36C5"/>
    <w:rsid w:val="003C7E24"/>
    <w:rsid w:val="003D10FC"/>
    <w:rsid w:val="003D1DCE"/>
    <w:rsid w:val="003F0057"/>
    <w:rsid w:val="003F7FE3"/>
    <w:rsid w:val="00400B1A"/>
    <w:rsid w:val="00416074"/>
    <w:rsid w:val="004354D6"/>
    <w:rsid w:val="004418B5"/>
    <w:rsid w:val="004420A1"/>
    <w:rsid w:val="00444418"/>
    <w:rsid w:val="00451255"/>
    <w:rsid w:val="00452C36"/>
    <w:rsid w:val="004536D9"/>
    <w:rsid w:val="00457266"/>
    <w:rsid w:val="00461198"/>
    <w:rsid w:val="00463516"/>
    <w:rsid w:val="004672AA"/>
    <w:rsid w:val="0048450A"/>
    <w:rsid w:val="0048761D"/>
    <w:rsid w:val="00496059"/>
    <w:rsid w:val="004A3A59"/>
    <w:rsid w:val="004A583F"/>
    <w:rsid w:val="004A5A3D"/>
    <w:rsid w:val="004B29FC"/>
    <w:rsid w:val="004B7390"/>
    <w:rsid w:val="004C2C46"/>
    <w:rsid w:val="004D51BC"/>
    <w:rsid w:val="004D53DE"/>
    <w:rsid w:val="004D7DB5"/>
    <w:rsid w:val="004E0BB1"/>
    <w:rsid w:val="004E20E4"/>
    <w:rsid w:val="004F1005"/>
    <w:rsid w:val="004F3735"/>
    <w:rsid w:val="004F52F7"/>
    <w:rsid w:val="004F70E6"/>
    <w:rsid w:val="00514868"/>
    <w:rsid w:val="00524F0A"/>
    <w:rsid w:val="00526F2C"/>
    <w:rsid w:val="00535414"/>
    <w:rsid w:val="00537D21"/>
    <w:rsid w:val="00564F6A"/>
    <w:rsid w:val="0056797B"/>
    <w:rsid w:val="00583F81"/>
    <w:rsid w:val="005930C9"/>
    <w:rsid w:val="00593108"/>
    <w:rsid w:val="005948BB"/>
    <w:rsid w:val="005A35BA"/>
    <w:rsid w:val="005A7642"/>
    <w:rsid w:val="005B3114"/>
    <w:rsid w:val="005B6889"/>
    <w:rsid w:val="005B7FBF"/>
    <w:rsid w:val="005C3D19"/>
    <w:rsid w:val="005D4F86"/>
    <w:rsid w:val="005F3EA4"/>
    <w:rsid w:val="005F5C84"/>
    <w:rsid w:val="00602C4E"/>
    <w:rsid w:val="00603943"/>
    <w:rsid w:val="00606A6B"/>
    <w:rsid w:val="00610111"/>
    <w:rsid w:val="006104B3"/>
    <w:rsid w:val="00623397"/>
    <w:rsid w:val="00626572"/>
    <w:rsid w:val="006351AE"/>
    <w:rsid w:val="00636EEA"/>
    <w:rsid w:val="00637ABD"/>
    <w:rsid w:val="00640977"/>
    <w:rsid w:val="00643C5C"/>
    <w:rsid w:val="00645B52"/>
    <w:rsid w:val="00645BCD"/>
    <w:rsid w:val="006570FD"/>
    <w:rsid w:val="00657BD1"/>
    <w:rsid w:val="00663A7F"/>
    <w:rsid w:val="00665DD5"/>
    <w:rsid w:val="006702A1"/>
    <w:rsid w:val="00670D0F"/>
    <w:rsid w:val="0067710C"/>
    <w:rsid w:val="0067787A"/>
    <w:rsid w:val="00683A44"/>
    <w:rsid w:val="00684CFE"/>
    <w:rsid w:val="00684EB5"/>
    <w:rsid w:val="0068690D"/>
    <w:rsid w:val="00692E47"/>
    <w:rsid w:val="00697BC4"/>
    <w:rsid w:val="006A1AA7"/>
    <w:rsid w:val="006A2AF4"/>
    <w:rsid w:val="006A68AD"/>
    <w:rsid w:val="006B0B8A"/>
    <w:rsid w:val="006C2221"/>
    <w:rsid w:val="006C428A"/>
    <w:rsid w:val="006C51C1"/>
    <w:rsid w:val="006D4E29"/>
    <w:rsid w:val="006E6EE5"/>
    <w:rsid w:val="006F39B2"/>
    <w:rsid w:val="006F41DD"/>
    <w:rsid w:val="006F4419"/>
    <w:rsid w:val="006F5F30"/>
    <w:rsid w:val="007017CB"/>
    <w:rsid w:val="00701891"/>
    <w:rsid w:val="00701AB0"/>
    <w:rsid w:val="00701FC7"/>
    <w:rsid w:val="00707160"/>
    <w:rsid w:val="007115C7"/>
    <w:rsid w:val="00723AC4"/>
    <w:rsid w:val="00726280"/>
    <w:rsid w:val="00727B6C"/>
    <w:rsid w:val="007350F3"/>
    <w:rsid w:val="00735506"/>
    <w:rsid w:val="00737E02"/>
    <w:rsid w:val="007402CF"/>
    <w:rsid w:val="007435AC"/>
    <w:rsid w:val="00743656"/>
    <w:rsid w:val="00743A39"/>
    <w:rsid w:val="0075257E"/>
    <w:rsid w:val="00752FBD"/>
    <w:rsid w:val="00757865"/>
    <w:rsid w:val="007600BE"/>
    <w:rsid w:val="00763707"/>
    <w:rsid w:val="00763EFC"/>
    <w:rsid w:val="00765050"/>
    <w:rsid w:val="00765188"/>
    <w:rsid w:val="00772E38"/>
    <w:rsid w:val="00772E56"/>
    <w:rsid w:val="00775219"/>
    <w:rsid w:val="0077758B"/>
    <w:rsid w:val="00782B58"/>
    <w:rsid w:val="007914C6"/>
    <w:rsid w:val="00794537"/>
    <w:rsid w:val="007959EB"/>
    <w:rsid w:val="00795AD6"/>
    <w:rsid w:val="007A3025"/>
    <w:rsid w:val="007A3A87"/>
    <w:rsid w:val="007B0414"/>
    <w:rsid w:val="007B6868"/>
    <w:rsid w:val="007B7FB9"/>
    <w:rsid w:val="007C3E53"/>
    <w:rsid w:val="007E3CC7"/>
    <w:rsid w:val="007E7334"/>
    <w:rsid w:val="007E7860"/>
    <w:rsid w:val="00802C16"/>
    <w:rsid w:val="00810831"/>
    <w:rsid w:val="008164D4"/>
    <w:rsid w:val="008222D1"/>
    <w:rsid w:val="008250A9"/>
    <w:rsid w:val="0083118C"/>
    <w:rsid w:val="008335BB"/>
    <w:rsid w:val="00837B75"/>
    <w:rsid w:val="00844DA9"/>
    <w:rsid w:val="00850E53"/>
    <w:rsid w:val="00855B94"/>
    <w:rsid w:val="0087588C"/>
    <w:rsid w:val="00876B21"/>
    <w:rsid w:val="00883468"/>
    <w:rsid w:val="008954ED"/>
    <w:rsid w:val="008A33BD"/>
    <w:rsid w:val="008C2445"/>
    <w:rsid w:val="008D1703"/>
    <w:rsid w:val="008D6DE4"/>
    <w:rsid w:val="008E3998"/>
    <w:rsid w:val="008E3FA0"/>
    <w:rsid w:val="008E7F11"/>
    <w:rsid w:val="008F0054"/>
    <w:rsid w:val="008F0097"/>
    <w:rsid w:val="008F044D"/>
    <w:rsid w:val="008F28FF"/>
    <w:rsid w:val="008F5840"/>
    <w:rsid w:val="00900D9C"/>
    <w:rsid w:val="00914298"/>
    <w:rsid w:val="00923BAF"/>
    <w:rsid w:val="00940B6C"/>
    <w:rsid w:val="00944DD6"/>
    <w:rsid w:val="009475AF"/>
    <w:rsid w:val="00950C3A"/>
    <w:rsid w:val="00950EBA"/>
    <w:rsid w:val="009519B0"/>
    <w:rsid w:val="00957804"/>
    <w:rsid w:val="00964B5C"/>
    <w:rsid w:val="00966135"/>
    <w:rsid w:val="009708F0"/>
    <w:rsid w:val="009710E6"/>
    <w:rsid w:val="00977AA2"/>
    <w:rsid w:val="00977E61"/>
    <w:rsid w:val="0098335A"/>
    <w:rsid w:val="009876B7"/>
    <w:rsid w:val="00994CAB"/>
    <w:rsid w:val="00995775"/>
    <w:rsid w:val="009978D1"/>
    <w:rsid w:val="009A78CB"/>
    <w:rsid w:val="009B6B66"/>
    <w:rsid w:val="009C3011"/>
    <w:rsid w:val="009D006E"/>
    <w:rsid w:val="009D141B"/>
    <w:rsid w:val="009D6D6A"/>
    <w:rsid w:val="009E1DEF"/>
    <w:rsid w:val="009E271C"/>
    <w:rsid w:val="009F1462"/>
    <w:rsid w:val="00A00D6A"/>
    <w:rsid w:val="00A01A28"/>
    <w:rsid w:val="00A02283"/>
    <w:rsid w:val="00A02CB7"/>
    <w:rsid w:val="00A05889"/>
    <w:rsid w:val="00A10F25"/>
    <w:rsid w:val="00A10F5F"/>
    <w:rsid w:val="00A16FE4"/>
    <w:rsid w:val="00A17AC0"/>
    <w:rsid w:val="00A20CCB"/>
    <w:rsid w:val="00A21929"/>
    <w:rsid w:val="00A2623B"/>
    <w:rsid w:val="00A27E78"/>
    <w:rsid w:val="00A41B7D"/>
    <w:rsid w:val="00A4315A"/>
    <w:rsid w:val="00A440E6"/>
    <w:rsid w:val="00A6386C"/>
    <w:rsid w:val="00A654E7"/>
    <w:rsid w:val="00A676F0"/>
    <w:rsid w:val="00A77807"/>
    <w:rsid w:val="00A843B4"/>
    <w:rsid w:val="00A96463"/>
    <w:rsid w:val="00A96C11"/>
    <w:rsid w:val="00AA116E"/>
    <w:rsid w:val="00AA12E7"/>
    <w:rsid w:val="00AA73FA"/>
    <w:rsid w:val="00AB118B"/>
    <w:rsid w:val="00AC3DAB"/>
    <w:rsid w:val="00AD0A66"/>
    <w:rsid w:val="00AD17D7"/>
    <w:rsid w:val="00AD4391"/>
    <w:rsid w:val="00AE5867"/>
    <w:rsid w:val="00AE7078"/>
    <w:rsid w:val="00AE70D6"/>
    <w:rsid w:val="00AF0CDF"/>
    <w:rsid w:val="00B01DCD"/>
    <w:rsid w:val="00B16E87"/>
    <w:rsid w:val="00B2453B"/>
    <w:rsid w:val="00B272B0"/>
    <w:rsid w:val="00B344AA"/>
    <w:rsid w:val="00B4208F"/>
    <w:rsid w:val="00B42C49"/>
    <w:rsid w:val="00B4352E"/>
    <w:rsid w:val="00B45632"/>
    <w:rsid w:val="00B5492D"/>
    <w:rsid w:val="00B54FFF"/>
    <w:rsid w:val="00B56A44"/>
    <w:rsid w:val="00B71359"/>
    <w:rsid w:val="00B72537"/>
    <w:rsid w:val="00B8029A"/>
    <w:rsid w:val="00B85362"/>
    <w:rsid w:val="00B85604"/>
    <w:rsid w:val="00B86584"/>
    <w:rsid w:val="00B94DC8"/>
    <w:rsid w:val="00BB28E4"/>
    <w:rsid w:val="00BC4255"/>
    <w:rsid w:val="00BD5289"/>
    <w:rsid w:val="00BD6EC7"/>
    <w:rsid w:val="00BE62CF"/>
    <w:rsid w:val="00BE7FC9"/>
    <w:rsid w:val="00BF30F9"/>
    <w:rsid w:val="00BF43D5"/>
    <w:rsid w:val="00C07115"/>
    <w:rsid w:val="00C17798"/>
    <w:rsid w:val="00C21328"/>
    <w:rsid w:val="00C21EB3"/>
    <w:rsid w:val="00C246A2"/>
    <w:rsid w:val="00C27F25"/>
    <w:rsid w:val="00C37419"/>
    <w:rsid w:val="00C429E6"/>
    <w:rsid w:val="00C42E31"/>
    <w:rsid w:val="00C45FAB"/>
    <w:rsid w:val="00C53436"/>
    <w:rsid w:val="00C545E9"/>
    <w:rsid w:val="00C57BE4"/>
    <w:rsid w:val="00C63CBA"/>
    <w:rsid w:val="00C7093C"/>
    <w:rsid w:val="00C71962"/>
    <w:rsid w:val="00C81789"/>
    <w:rsid w:val="00C83D65"/>
    <w:rsid w:val="00C857D8"/>
    <w:rsid w:val="00C85A9A"/>
    <w:rsid w:val="00C869DA"/>
    <w:rsid w:val="00C909D2"/>
    <w:rsid w:val="00C93FD4"/>
    <w:rsid w:val="00C94AEA"/>
    <w:rsid w:val="00CA17F4"/>
    <w:rsid w:val="00CA27D5"/>
    <w:rsid w:val="00CA71A5"/>
    <w:rsid w:val="00CC1967"/>
    <w:rsid w:val="00CC368C"/>
    <w:rsid w:val="00CC437A"/>
    <w:rsid w:val="00CC5DAB"/>
    <w:rsid w:val="00CC7302"/>
    <w:rsid w:val="00CD26D5"/>
    <w:rsid w:val="00CE1222"/>
    <w:rsid w:val="00CE17BF"/>
    <w:rsid w:val="00CE4C18"/>
    <w:rsid w:val="00CF2B85"/>
    <w:rsid w:val="00D021FF"/>
    <w:rsid w:val="00D039A0"/>
    <w:rsid w:val="00D066AD"/>
    <w:rsid w:val="00D13DF3"/>
    <w:rsid w:val="00D240F9"/>
    <w:rsid w:val="00D249A0"/>
    <w:rsid w:val="00D25488"/>
    <w:rsid w:val="00D3508B"/>
    <w:rsid w:val="00D40224"/>
    <w:rsid w:val="00D67B3E"/>
    <w:rsid w:val="00D70F1E"/>
    <w:rsid w:val="00D72CD5"/>
    <w:rsid w:val="00D84825"/>
    <w:rsid w:val="00D8654B"/>
    <w:rsid w:val="00D928ED"/>
    <w:rsid w:val="00D96F38"/>
    <w:rsid w:val="00DA7BFE"/>
    <w:rsid w:val="00DB0D87"/>
    <w:rsid w:val="00DB5649"/>
    <w:rsid w:val="00DC051C"/>
    <w:rsid w:val="00DE202C"/>
    <w:rsid w:val="00DE2293"/>
    <w:rsid w:val="00DE2938"/>
    <w:rsid w:val="00DE584F"/>
    <w:rsid w:val="00DF4905"/>
    <w:rsid w:val="00DF4E1B"/>
    <w:rsid w:val="00E016DD"/>
    <w:rsid w:val="00E0232E"/>
    <w:rsid w:val="00E07690"/>
    <w:rsid w:val="00E111FE"/>
    <w:rsid w:val="00E14B9E"/>
    <w:rsid w:val="00E23429"/>
    <w:rsid w:val="00E34D35"/>
    <w:rsid w:val="00E62EA6"/>
    <w:rsid w:val="00E6770F"/>
    <w:rsid w:val="00E67AEE"/>
    <w:rsid w:val="00E70444"/>
    <w:rsid w:val="00E773EB"/>
    <w:rsid w:val="00E8469A"/>
    <w:rsid w:val="00E91070"/>
    <w:rsid w:val="00E9243B"/>
    <w:rsid w:val="00E936D4"/>
    <w:rsid w:val="00E945A1"/>
    <w:rsid w:val="00EA3FB7"/>
    <w:rsid w:val="00EB2D2B"/>
    <w:rsid w:val="00EC38B2"/>
    <w:rsid w:val="00EC60BF"/>
    <w:rsid w:val="00EE5E61"/>
    <w:rsid w:val="00EF2140"/>
    <w:rsid w:val="00EF70A3"/>
    <w:rsid w:val="00F03BF6"/>
    <w:rsid w:val="00F04556"/>
    <w:rsid w:val="00F11B74"/>
    <w:rsid w:val="00F15578"/>
    <w:rsid w:val="00F17ABA"/>
    <w:rsid w:val="00F20FBE"/>
    <w:rsid w:val="00F30783"/>
    <w:rsid w:val="00F361F6"/>
    <w:rsid w:val="00F400C6"/>
    <w:rsid w:val="00F407FC"/>
    <w:rsid w:val="00F4247A"/>
    <w:rsid w:val="00F46780"/>
    <w:rsid w:val="00F57E4D"/>
    <w:rsid w:val="00F57E99"/>
    <w:rsid w:val="00F66A7C"/>
    <w:rsid w:val="00F6703C"/>
    <w:rsid w:val="00F766D3"/>
    <w:rsid w:val="00F9208B"/>
    <w:rsid w:val="00F9321C"/>
    <w:rsid w:val="00F97070"/>
    <w:rsid w:val="00FA63B6"/>
    <w:rsid w:val="00FA6EF4"/>
    <w:rsid w:val="00FA6F16"/>
    <w:rsid w:val="00FA7BAC"/>
    <w:rsid w:val="00FB1349"/>
    <w:rsid w:val="00FB64A6"/>
    <w:rsid w:val="00FB6742"/>
    <w:rsid w:val="00FC2EF4"/>
    <w:rsid w:val="00FC43B2"/>
    <w:rsid w:val="00FD7D1E"/>
    <w:rsid w:val="00FE7401"/>
    <w:rsid w:val="00FF2E5A"/>
    <w:rsid w:val="00FF6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DEF42A7"/>
  <w15:chartTrackingRefBased/>
  <w15:docId w15:val="{D67499E2-E61E-4D1A-9A1D-619E4055A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23429"/>
    <w:pPr>
      <w:spacing w:after="120"/>
    </w:pPr>
  </w:style>
  <w:style w:type="paragraph" w:styleId="Heading1">
    <w:name w:val="heading 1"/>
    <w:basedOn w:val="Normal"/>
    <w:next w:val="Normal"/>
    <w:link w:val="Heading1Char"/>
    <w:uiPriority w:val="9"/>
    <w:qFormat/>
    <w:rsid w:val="004D51BC"/>
    <w:pPr>
      <w:keepNext/>
      <w:keepLines/>
      <w:spacing w:before="240" w:line="240" w:lineRule="auto"/>
      <w:outlineLvl w:val="0"/>
    </w:pPr>
    <w:rPr>
      <w:rFonts w:asciiTheme="majorHAnsi" w:eastAsiaTheme="majorEastAsia" w:hAnsiTheme="majorHAnsi" w:cstheme="majorBidi"/>
      <w:color w:val="00437B" w:themeColor="accent5"/>
      <w:sz w:val="32"/>
      <w:szCs w:val="32"/>
    </w:rPr>
  </w:style>
  <w:style w:type="paragraph" w:styleId="Heading2">
    <w:name w:val="heading 2"/>
    <w:link w:val="Heading2Char"/>
    <w:uiPriority w:val="9"/>
    <w:unhideWhenUsed/>
    <w:qFormat/>
    <w:rsid w:val="004D51BC"/>
    <w:pPr>
      <w:keepNext/>
      <w:keepLines/>
      <w:spacing w:before="120" w:after="0" w:line="240" w:lineRule="auto"/>
      <w:outlineLvl w:val="1"/>
    </w:pPr>
    <w:rPr>
      <w:rFonts w:asciiTheme="majorHAnsi" w:eastAsiaTheme="majorEastAsia" w:hAnsiTheme="majorHAnsi" w:cstheme="majorBidi"/>
      <w:color w:val="E65500" w:themeColor="accent2" w:themeShade="BF"/>
      <w:sz w:val="28"/>
      <w:szCs w:val="26"/>
    </w:rPr>
  </w:style>
  <w:style w:type="paragraph" w:styleId="Heading3">
    <w:name w:val="heading 3"/>
    <w:basedOn w:val="Normal"/>
    <w:next w:val="Normal"/>
    <w:link w:val="Heading3Char"/>
    <w:uiPriority w:val="9"/>
    <w:unhideWhenUsed/>
    <w:qFormat/>
    <w:rsid w:val="00A02283"/>
    <w:pPr>
      <w:keepNext/>
      <w:keepLines/>
      <w:spacing w:before="120" w:after="0" w:line="240" w:lineRule="auto"/>
      <w:outlineLvl w:val="2"/>
    </w:pPr>
    <w:rPr>
      <w:rFonts w:asciiTheme="majorHAnsi" w:eastAsiaTheme="majorEastAsia" w:hAnsiTheme="majorHAnsi" w:cstheme="majorBidi"/>
      <w:color w:val="1F6096" w:themeColor="accent1" w:themeShade="7F"/>
      <w:sz w:val="24"/>
      <w:szCs w:val="24"/>
    </w:rPr>
  </w:style>
  <w:style w:type="paragraph" w:styleId="Heading4">
    <w:name w:val="heading 4"/>
    <w:basedOn w:val="Normal"/>
    <w:next w:val="Normal"/>
    <w:link w:val="Heading4Char"/>
    <w:uiPriority w:val="9"/>
    <w:unhideWhenUsed/>
    <w:qFormat/>
    <w:rsid w:val="00224ACB"/>
    <w:pPr>
      <w:keepNext/>
      <w:keepLines/>
      <w:spacing w:before="120" w:after="0"/>
      <w:outlineLvl w:val="3"/>
    </w:pPr>
    <w:rPr>
      <w:rFonts w:asciiTheme="majorHAnsi" w:eastAsiaTheme="majorEastAsia" w:hAnsiTheme="majorHAnsi" w:cstheme="majorBidi"/>
      <w:i/>
      <w:iCs/>
      <w:color w:val="3A8FD6" w:themeColor="accent1" w:themeShade="BF"/>
    </w:rPr>
  </w:style>
  <w:style w:type="paragraph" w:styleId="Heading5">
    <w:name w:val="heading 5"/>
    <w:basedOn w:val="Normal"/>
    <w:next w:val="Normal"/>
    <w:link w:val="Heading5Char"/>
    <w:uiPriority w:val="9"/>
    <w:unhideWhenUsed/>
    <w:qFormat/>
    <w:rsid w:val="00297140"/>
    <w:pPr>
      <w:keepNext/>
      <w:keepLines/>
      <w:spacing w:before="80" w:after="40" w:line="240" w:lineRule="auto"/>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373204"/>
    <w:pPr>
      <w:keepNext/>
      <w:keepLines/>
      <w:numPr>
        <w:ilvl w:val="5"/>
        <w:numId w:val="3"/>
      </w:numPr>
      <w:spacing w:before="40" w:line="240" w:lineRule="auto"/>
      <w:outlineLvl w:val="5"/>
    </w:pPr>
    <w:rPr>
      <w:rFonts w:asciiTheme="majorHAnsi" w:eastAsiaTheme="majorEastAsia" w:hAnsiTheme="majorHAnsi" w:cstheme="majorBidi"/>
      <w:color w:val="1F6096" w:themeColor="accent1" w:themeShade="7F"/>
    </w:rPr>
  </w:style>
  <w:style w:type="paragraph" w:styleId="Heading7">
    <w:name w:val="heading 7"/>
    <w:basedOn w:val="Normal"/>
    <w:next w:val="Normal"/>
    <w:link w:val="Heading7Char"/>
    <w:uiPriority w:val="9"/>
    <w:semiHidden/>
    <w:unhideWhenUsed/>
    <w:qFormat/>
    <w:rsid w:val="00373204"/>
    <w:pPr>
      <w:keepNext/>
      <w:keepLines/>
      <w:numPr>
        <w:ilvl w:val="6"/>
        <w:numId w:val="3"/>
      </w:numPr>
      <w:spacing w:before="40" w:line="240" w:lineRule="auto"/>
      <w:outlineLvl w:val="6"/>
    </w:pPr>
    <w:rPr>
      <w:rFonts w:asciiTheme="majorHAnsi" w:eastAsiaTheme="majorEastAsia" w:hAnsiTheme="majorHAnsi" w:cstheme="majorBidi"/>
      <w:i/>
      <w:iCs/>
      <w:color w:val="1F6096" w:themeColor="accent1" w:themeShade="7F"/>
    </w:rPr>
  </w:style>
  <w:style w:type="paragraph" w:styleId="Heading8">
    <w:name w:val="heading 8"/>
    <w:basedOn w:val="Normal"/>
    <w:next w:val="Normal"/>
    <w:link w:val="Heading8Char"/>
    <w:uiPriority w:val="9"/>
    <w:semiHidden/>
    <w:unhideWhenUsed/>
    <w:qFormat/>
    <w:rsid w:val="00373204"/>
    <w:pPr>
      <w:keepNext/>
      <w:keepLines/>
      <w:numPr>
        <w:ilvl w:val="7"/>
        <w:numId w:val="3"/>
      </w:numPr>
      <w:spacing w:before="4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73204"/>
    <w:pPr>
      <w:keepNext/>
      <w:keepLines/>
      <w:numPr>
        <w:ilvl w:val="8"/>
        <w:numId w:val="3"/>
      </w:numPr>
      <w:spacing w:before="4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3DE"/>
    <w:pPr>
      <w:ind w:left="720"/>
      <w:contextualSpacing/>
    </w:pPr>
  </w:style>
  <w:style w:type="paragraph" w:styleId="BodyText">
    <w:name w:val="Body Text"/>
    <w:basedOn w:val="Normal"/>
    <w:link w:val="BodyTextChar"/>
    <w:uiPriority w:val="99"/>
    <w:unhideWhenUsed/>
    <w:qFormat/>
    <w:rsid w:val="00977AA2"/>
    <w:pPr>
      <w:spacing w:before="120" w:after="0"/>
    </w:pPr>
    <w:rPr>
      <w:rFonts w:eastAsia="Times New Roman"/>
    </w:rPr>
  </w:style>
  <w:style w:type="character" w:customStyle="1" w:styleId="BodyTextChar">
    <w:name w:val="Body Text Char"/>
    <w:basedOn w:val="DefaultParagraphFont"/>
    <w:link w:val="BodyText"/>
    <w:uiPriority w:val="99"/>
    <w:rsid w:val="00977AA2"/>
    <w:rPr>
      <w:rFonts w:eastAsia="Times New Roman"/>
    </w:rPr>
  </w:style>
  <w:style w:type="paragraph" w:styleId="FootnoteText">
    <w:name w:val="footnote text"/>
    <w:basedOn w:val="Normal"/>
    <w:link w:val="FootnoteTextChar"/>
    <w:uiPriority w:val="99"/>
    <w:qFormat/>
    <w:rsid w:val="009475AF"/>
    <w:pPr>
      <w:spacing w:after="0" w:line="240" w:lineRule="auto"/>
    </w:pPr>
    <w:rPr>
      <w:rFonts w:eastAsia="Times New Roman" w:cs="Times New Roman"/>
      <w:sz w:val="18"/>
      <w:szCs w:val="18"/>
    </w:rPr>
  </w:style>
  <w:style w:type="character" w:customStyle="1" w:styleId="FootnoteTextChar">
    <w:name w:val="Footnote Text Char"/>
    <w:basedOn w:val="DefaultParagraphFont"/>
    <w:link w:val="FootnoteText"/>
    <w:uiPriority w:val="99"/>
    <w:rsid w:val="009475AF"/>
    <w:rPr>
      <w:rFonts w:eastAsia="Times New Roman" w:cs="Times New Roman"/>
      <w:sz w:val="18"/>
      <w:szCs w:val="18"/>
    </w:rPr>
  </w:style>
  <w:style w:type="character" w:styleId="FootnoteReference">
    <w:name w:val="footnote reference"/>
    <w:uiPriority w:val="99"/>
    <w:qFormat/>
    <w:rsid w:val="00E9243B"/>
    <w:rPr>
      <w:vertAlign w:val="superscript"/>
    </w:rPr>
  </w:style>
  <w:style w:type="paragraph" w:customStyle="1" w:styleId="Bullet1">
    <w:name w:val="Bullet 1"/>
    <w:basedOn w:val="ListParagraph"/>
    <w:qFormat/>
    <w:rsid w:val="00A02283"/>
    <w:pPr>
      <w:numPr>
        <w:numId w:val="1"/>
      </w:numPr>
      <w:spacing w:before="120" w:after="0" w:line="240" w:lineRule="auto"/>
    </w:pPr>
    <w:rPr>
      <w:rFonts w:cstheme="minorHAnsi"/>
      <w:bCs/>
    </w:rPr>
  </w:style>
  <w:style w:type="character" w:customStyle="1" w:styleId="apple-converted-space">
    <w:name w:val="apple-converted-space"/>
    <w:basedOn w:val="DefaultParagraphFont"/>
    <w:rsid w:val="00140B3D"/>
  </w:style>
  <w:style w:type="paragraph" w:styleId="BalloonText">
    <w:name w:val="Balloon Text"/>
    <w:basedOn w:val="Normal"/>
    <w:link w:val="BalloonTextChar"/>
    <w:uiPriority w:val="99"/>
    <w:semiHidden/>
    <w:unhideWhenUsed/>
    <w:rsid w:val="00AF0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CDF"/>
    <w:rPr>
      <w:rFonts w:ascii="Segoe UI" w:hAnsi="Segoe UI" w:cs="Segoe UI"/>
      <w:sz w:val="18"/>
      <w:szCs w:val="18"/>
    </w:rPr>
  </w:style>
  <w:style w:type="character" w:customStyle="1" w:styleId="Heading1Char">
    <w:name w:val="Heading 1 Char"/>
    <w:basedOn w:val="DefaultParagraphFont"/>
    <w:link w:val="Heading1"/>
    <w:uiPriority w:val="9"/>
    <w:rsid w:val="004D51BC"/>
    <w:rPr>
      <w:rFonts w:asciiTheme="majorHAnsi" w:eastAsiaTheme="majorEastAsia" w:hAnsiTheme="majorHAnsi" w:cstheme="majorBidi"/>
      <w:color w:val="00437B" w:themeColor="accent5"/>
      <w:sz w:val="32"/>
      <w:szCs w:val="32"/>
    </w:rPr>
  </w:style>
  <w:style w:type="character" w:customStyle="1" w:styleId="Heading2Char">
    <w:name w:val="Heading 2 Char"/>
    <w:basedOn w:val="DefaultParagraphFont"/>
    <w:link w:val="Heading2"/>
    <w:uiPriority w:val="9"/>
    <w:rsid w:val="004D51BC"/>
    <w:rPr>
      <w:rFonts w:asciiTheme="majorHAnsi" w:eastAsiaTheme="majorEastAsia" w:hAnsiTheme="majorHAnsi" w:cstheme="majorBidi"/>
      <w:color w:val="E65500" w:themeColor="accent2" w:themeShade="BF"/>
      <w:sz w:val="28"/>
      <w:szCs w:val="26"/>
    </w:rPr>
  </w:style>
  <w:style w:type="character" w:styleId="CommentReference">
    <w:name w:val="annotation reference"/>
    <w:basedOn w:val="DefaultParagraphFont"/>
    <w:uiPriority w:val="99"/>
    <w:semiHidden/>
    <w:unhideWhenUsed/>
    <w:rsid w:val="00D8654B"/>
    <w:rPr>
      <w:sz w:val="16"/>
      <w:szCs w:val="16"/>
    </w:rPr>
  </w:style>
  <w:style w:type="paragraph" w:styleId="CommentText">
    <w:name w:val="annotation text"/>
    <w:basedOn w:val="Normal"/>
    <w:link w:val="CommentTextChar"/>
    <w:uiPriority w:val="99"/>
    <w:unhideWhenUsed/>
    <w:rsid w:val="00D8654B"/>
    <w:pPr>
      <w:spacing w:line="240" w:lineRule="auto"/>
    </w:pPr>
    <w:rPr>
      <w:sz w:val="20"/>
      <w:szCs w:val="20"/>
    </w:rPr>
  </w:style>
  <w:style w:type="character" w:customStyle="1" w:styleId="CommentTextChar">
    <w:name w:val="Comment Text Char"/>
    <w:basedOn w:val="DefaultParagraphFont"/>
    <w:link w:val="CommentText"/>
    <w:uiPriority w:val="99"/>
    <w:rsid w:val="00D8654B"/>
    <w:rPr>
      <w:sz w:val="20"/>
      <w:szCs w:val="20"/>
    </w:rPr>
  </w:style>
  <w:style w:type="paragraph" w:styleId="CommentSubject">
    <w:name w:val="annotation subject"/>
    <w:basedOn w:val="CommentText"/>
    <w:next w:val="CommentText"/>
    <w:link w:val="CommentSubjectChar"/>
    <w:uiPriority w:val="99"/>
    <w:semiHidden/>
    <w:unhideWhenUsed/>
    <w:rsid w:val="00D8654B"/>
    <w:rPr>
      <w:b/>
      <w:bCs/>
    </w:rPr>
  </w:style>
  <w:style w:type="character" w:customStyle="1" w:styleId="CommentSubjectChar">
    <w:name w:val="Comment Subject Char"/>
    <w:basedOn w:val="CommentTextChar"/>
    <w:link w:val="CommentSubject"/>
    <w:uiPriority w:val="99"/>
    <w:semiHidden/>
    <w:rsid w:val="00D8654B"/>
    <w:rPr>
      <w:b/>
      <w:bCs/>
      <w:sz w:val="20"/>
      <w:szCs w:val="20"/>
    </w:rPr>
  </w:style>
  <w:style w:type="character" w:customStyle="1" w:styleId="Heading3Char">
    <w:name w:val="Heading 3 Char"/>
    <w:basedOn w:val="DefaultParagraphFont"/>
    <w:link w:val="Heading3"/>
    <w:uiPriority w:val="9"/>
    <w:rsid w:val="00A02283"/>
    <w:rPr>
      <w:rFonts w:asciiTheme="majorHAnsi" w:eastAsiaTheme="majorEastAsia" w:hAnsiTheme="majorHAnsi" w:cstheme="majorBidi"/>
      <w:color w:val="1F6096" w:themeColor="accent1" w:themeShade="7F"/>
      <w:sz w:val="24"/>
      <w:szCs w:val="24"/>
    </w:rPr>
  </w:style>
  <w:style w:type="character" w:customStyle="1" w:styleId="Heading4Char">
    <w:name w:val="Heading 4 Char"/>
    <w:basedOn w:val="DefaultParagraphFont"/>
    <w:link w:val="Heading4"/>
    <w:uiPriority w:val="9"/>
    <w:rsid w:val="00224ACB"/>
    <w:rPr>
      <w:rFonts w:asciiTheme="majorHAnsi" w:eastAsiaTheme="majorEastAsia" w:hAnsiTheme="majorHAnsi" w:cstheme="majorBidi"/>
      <w:i/>
      <w:iCs/>
      <w:color w:val="3A8FD6" w:themeColor="accent1" w:themeShade="BF"/>
    </w:rPr>
  </w:style>
  <w:style w:type="paragraph" w:styleId="Header">
    <w:name w:val="header"/>
    <w:basedOn w:val="Normal"/>
    <w:link w:val="HeaderChar"/>
    <w:uiPriority w:val="99"/>
    <w:unhideWhenUsed/>
    <w:rsid w:val="00DE2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293"/>
  </w:style>
  <w:style w:type="paragraph" w:styleId="Footer">
    <w:name w:val="footer"/>
    <w:basedOn w:val="Normal"/>
    <w:link w:val="FooterChar"/>
    <w:uiPriority w:val="99"/>
    <w:unhideWhenUsed/>
    <w:rsid w:val="00DE2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293"/>
  </w:style>
  <w:style w:type="table" w:styleId="TableGrid">
    <w:name w:val="Table Grid"/>
    <w:basedOn w:val="TableNormal"/>
    <w:uiPriority w:val="39"/>
    <w:rsid w:val="00637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F5F30"/>
    <w:pPr>
      <w:spacing w:after="200" w:line="240" w:lineRule="auto"/>
    </w:pPr>
    <w:rPr>
      <w:i/>
      <w:iCs/>
      <w:color w:val="44546A" w:themeColor="text2"/>
      <w:sz w:val="18"/>
      <w:szCs w:val="18"/>
    </w:rPr>
  </w:style>
  <w:style w:type="paragraph" w:styleId="NoSpacing">
    <w:name w:val="No Spacing"/>
    <w:link w:val="NoSpacingChar"/>
    <w:uiPriority w:val="1"/>
    <w:qFormat/>
    <w:rsid w:val="00C909D2"/>
    <w:pPr>
      <w:spacing w:after="0" w:line="240" w:lineRule="auto"/>
    </w:pPr>
  </w:style>
  <w:style w:type="character" w:styleId="Hyperlink">
    <w:name w:val="Hyperlink"/>
    <w:basedOn w:val="DefaultParagraphFont"/>
    <w:uiPriority w:val="99"/>
    <w:unhideWhenUsed/>
    <w:rsid w:val="00C909D2"/>
    <w:rPr>
      <w:color w:val="0563C1" w:themeColor="hyperlink"/>
      <w:u w:val="single"/>
    </w:rPr>
  </w:style>
  <w:style w:type="paragraph" w:styleId="Revision">
    <w:name w:val="Revision"/>
    <w:hidden/>
    <w:uiPriority w:val="99"/>
    <w:semiHidden/>
    <w:rsid w:val="00697BC4"/>
    <w:pPr>
      <w:spacing w:after="0" w:line="240" w:lineRule="auto"/>
    </w:pPr>
  </w:style>
  <w:style w:type="paragraph" w:styleId="NormalWeb">
    <w:name w:val="Normal (Web)"/>
    <w:basedOn w:val="Normal"/>
    <w:uiPriority w:val="99"/>
    <w:semiHidden/>
    <w:unhideWhenUsed/>
    <w:rsid w:val="005A764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381C97"/>
    <w:rPr>
      <w:color w:val="954F72" w:themeColor="followedHyperlink"/>
      <w:u w:val="single"/>
    </w:rPr>
  </w:style>
  <w:style w:type="paragraph" w:customStyle="1" w:styleId="BodyTextMediumItalic">
    <w:name w:val="Body Text Medium Italic"/>
    <w:basedOn w:val="BodyText"/>
    <w:link w:val="BodyTextMediumItalicChar"/>
    <w:qFormat/>
    <w:rsid w:val="000C2BFA"/>
    <w:rPr>
      <w:rFonts w:asciiTheme="majorHAnsi" w:hAnsiTheme="majorHAnsi"/>
      <w:i/>
    </w:rPr>
  </w:style>
  <w:style w:type="paragraph" w:customStyle="1" w:styleId="BodyTextposthead">
    <w:name w:val="Body Text post head"/>
    <w:basedOn w:val="BodyText"/>
    <w:link w:val="BodyTextpostheadChar"/>
    <w:qFormat/>
    <w:rsid w:val="009475AF"/>
  </w:style>
  <w:style w:type="character" w:customStyle="1" w:styleId="BodyTextMediumItalicChar">
    <w:name w:val="Body Text Medium Italic Char"/>
    <w:basedOn w:val="BodyTextChar"/>
    <w:link w:val="BodyTextMediumItalic"/>
    <w:rsid w:val="000C2BFA"/>
    <w:rPr>
      <w:rFonts w:asciiTheme="majorHAnsi" w:eastAsia="Times New Roman" w:hAnsiTheme="majorHAnsi"/>
      <w:i/>
    </w:rPr>
  </w:style>
  <w:style w:type="table" w:styleId="GridTable4-Accent1">
    <w:name w:val="Grid Table 4 Accent 1"/>
    <w:basedOn w:val="TableNormal"/>
    <w:uiPriority w:val="49"/>
    <w:rsid w:val="00224ACB"/>
    <w:pPr>
      <w:spacing w:after="0" w:line="240" w:lineRule="auto"/>
    </w:pPr>
    <w:tblPr>
      <w:tblStyleRowBandSize w:val="1"/>
      <w:tblStyleColBandSize w:val="1"/>
      <w:tblBorders>
        <w:top w:val="single" w:sz="4" w:space="0" w:color="B6D5F0" w:themeColor="accent1" w:themeTint="99"/>
        <w:left w:val="single" w:sz="4" w:space="0" w:color="B6D5F0" w:themeColor="accent1" w:themeTint="99"/>
        <w:bottom w:val="single" w:sz="4" w:space="0" w:color="B6D5F0" w:themeColor="accent1" w:themeTint="99"/>
        <w:right w:val="single" w:sz="4" w:space="0" w:color="B6D5F0" w:themeColor="accent1" w:themeTint="99"/>
        <w:insideH w:val="single" w:sz="4" w:space="0" w:color="B6D5F0" w:themeColor="accent1" w:themeTint="99"/>
        <w:insideV w:val="single" w:sz="4" w:space="0" w:color="B6D5F0" w:themeColor="accent1" w:themeTint="99"/>
      </w:tblBorders>
    </w:tblPr>
    <w:tblStylePr w:type="firstRow">
      <w:rPr>
        <w:b/>
        <w:bCs/>
        <w:color w:val="FFFFFF" w:themeColor="background1"/>
      </w:rPr>
      <w:tblPr/>
      <w:tcPr>
        <w:tcBorders>
          <w:top w:val="single" w:sz="4" w:space="0" w:color="86BBE6" w:themeColor="accent1"/>
          <w:left w:val="single" w:sz="4" w:space="0" w:color="86BBE6" w:themeColor="accent1"/>
          <w:bottom w:val="single" w:sz="4" w:space="0" w:color="86BBE6" w:themeColor="accent1"/>
          <w:right w:val="single" w:sz="4" w:space="0" w:color="86BBE6" w:themeColor="accent1"/>
          <w:insideH w:val="nil"/>
          <w:insideV w:val="nil"/>
        </w:tcBorders>
        <w:shd w:val="clear" w:color="auto" w:fill="86BBE6" w:themeFill="accent1"/>
      </w:tcPr>
    </w:tblStylePr>
    <w:tblStylePr w:type="lastRow">
      <w:rPr>
        <w:b/>
        <w:bCs/>
      </w:rPr>
      <w:tblPr/>
      <w:tcPr>
        <w:tcBorders>
          <w:top w:val="double" w:sz="4" w:space="0" w:color="86BBE6" w:themeColor="accent1"/>
        </w:tcBorders>
      </w:tcPr>
    </w:tblStylePr>
    <w:tblStylePr w:type="firstCol">
      <w:rPr>
        <w:b/>
        <w:bCs/>
      </w:rPr>
    </w:tblStylePr>
    <w:tblStylePr w:type="lastCol">
      <w:rPr>
        <w:b/>
        <w:bCs/>
      </w:rPr>
    </w:tblStylePr>
    <w:tblStylePr w:type="band1Vert">
      <w:tblPr/>
      <w:tcPr>
        <w:shd w:val="clear" w:color="auto" w:fill="E6F1FA" w:themeFill="accent1" w:themeFillTint="33"/>
      </w:tcPr>
    </w:tblStylePr>
    <w:tblStylePr w:type="band1Horz">
      <w:tblPr/>
      <w:tcPr>
        <w:shd w:val="clear" w:color="auto" w:fill="E6F1FA" w:themeFill="accent1" w:themeFillTint="33"/>
      </w:tcPr>
    </w:tblStylePr>
  </w:style>
  <w:style w:type="character" w:customStyle="1" w:styleId="BodyTextpostheadChar">
    <w:name w:val="Body Text post head Char"/>
    <w:basedOn w:val="BodyTextChar"/>
    <w:link w:val="BodyTextposthead"/>
    <w:rsid w:val="009475AF"/>
    <w:rPr>
      <w:rFonts w:eastAsia="Times New Roman"/>
    </w:rPr>
  </w:style>
  <w:style w:type="table" w:customStyle="1" w:styleId="TexasToolkittable1">
    <w:name w:val="Texas Toolkit table 1"/>
    <w:basedOn w:val="TableNormal"/>
    <w:uiPriority w:val="99"/>
    <w:rsid w:val="00E0232E"/>
    <w:pPr>
      <w:spacing w:after="0" w:line="240" w:lineRule="auto"/>
    </w:pPr>
    <w:tblPr>
      <w:tblStyleRowBandSize w:val="1"/>
      <w:jc w:val="center"/>
      <w:tblBorders>
        <w:top w:val="single" w:sz="4" w:space="0" w:color="3A8FD6" w:themeColor="accent1" w:themeShade="BF"/>
        <w:left w:val="single" w:sz="4" w:space="0" w:color="3A8FD6" w:themeColor="accent1" w:themeShade="BF"/>
        <w:bottom w:val="single" w:sz="4" w:space="0" w:color="3A8FD6" w:themeColor="accent1" w:themeShade="BF"/>
        <w:right w:val="single" w:sz="4" w:space="0" w:color="3A8FD6" w:themeColor="accent1" w:themeShade="BF"/>
        <w:insideH w:val="single" w:sz="4" w:space="0" w:color="3A8FD6" w:themeColor="accent1" w:themeShade="BF"/>
        <w:insideV w:val="single" w:sz="4" w:space="0" w:color="3A8FD6" w:themeColor="accent1" w:themeShade="BF"/>
      </w:tblBorders>
    </w:tblPr>
    <w:trPr>
      <w:jc w:val="center"/>
    </w:trPr>
    <w:tcPr>
      <w:shd w:val="clear" w:color="auto" w:fill="auto"/>
    </w:tcPr>
    <w:tblStylePr w:type="firstRow">
      <w:tblPr/>
      <w:tcPr>
        <w:tcBorders>
          <w:insideV w:val="single" w:sz="4" w:space="0" w:color="FFFFFF" w:themeColor="background1"/>
        </w:tcBorders>
        <w:shd w:val="clear" w:color="auto" w:fill="3A8FD6" w:themeFill="accent1" w:themeFillShade="BF"/>
      </w:tcPr>
    </w:tblStylePr>
    <w:tblStylePr w:type="band2Horz">
      <w:tblPr/>
      <w:tcPr>
        <w:shd w:val="clear" w:color="auto" w:fill="E6F1FA" w:themeFill="accent1" w:themeFillTint="33"/>
      </w:tcPr>
    </w:tblStylePr>
  </w:style>
  <w:style w:type="paragraph" w:customStyle="1" w:styleId="TableColumnHeadingLeft">
    <w:name w:val="Table Column Heading Left"/>
    <w:basedOn w:val="Normal"/>
    <w:link w:val="TableColumnHeadingLeftChar"/>
    <w:qFormat/>
    <w:rsid w:val="00B01DCD"/>
    <w:pPr>
      <w:keepNext/>
      <w:spacing w:before="40" w:after="60" w:line="240" w:lineRule="auto"/>
    </w:pPr>
    <w:rPr>
      <w:rFonts w:asciiTheme="majorHAnsi" w:hAnsiTheme="majorHAnsi"/>
      <w:color w:val="FFFFFF" w:themeColor="background1"/>
      <w:sz w:val="20"/>
    </w:rPr>
  </w:style>
  <w:style w:type="paragraph" w:customStyle="1" w:styleId="TableColumnHeadingCenter">
    <w:name w:val="Table Column Heading Center"/>
    <w:basedOn w:val="TableColumnHeadingLeft"/>
    <w:link w:val="TableColumnHeadingCenterChar"/>
    <w:qFormat/>
    <w:rsid w:val="00B4352E"/>
    <w:pPr>
      <w:jc w:val="center"/>
    </w:pPr>
  </w:style>
  <w:style w:type="character" w:customStyle="1" w:styleId="TableColumnHeadingLeftChar">
    <w:name w:val="Table Column Heading Left Char"/>
    <w:basedOn w:val="DefaultParagraphFont"/>
    <w:link w:val="TableColumnHeadingLeft"/>
    <w:rsid w:val="00B01DCD"/>
    <w:rPr>
      <w:rFonts w:asciiTheme="majorHAnsi" w:hAnsiTheme="majorHAnsi"/>
      <w:color w:val="FFFFFF" w:themeColor="background1"/>
      <w:sz w:val="20"/>
    </w:rPr>
  </w:style>
  <w:style w:type="paragraph" w:customStyle="1" w:styleId="TableText">
    <w:name w:val="Table Text"/>
    <w:link w:val="TableTextChar"/>
    <w:qFormat/>
    <w:rsid w:val="00B4352E"/>
    <w:pPr>
      <w:spacing w:before="40" w:after="60" w:line="240" w:lineRule="auto"/>
    </w:pPr>
    <w:rPr>
      <w:sz w:val="20"/>
    </w:rPr>
  </w:style>
  <w:style w:type="character" w:customStyle="1" w:styleId="TableColumnHeadingCenterChar">
    <w:name w:val="Table Column Heading Center Char"/>
    <w:basedOn w:val="TableColumnHeadingLeftChar"/>
    <w:link w:val="TableColumnHeadingCenter"/>
    <w:rsid w:val="00B4352E"/>
    <w:rPr>
      <w:rFonts w:asciiTheme="majorHAnsi" w:hAnsiTheme="majorHAnsi"/>
      <w:color w:val="FFFFFF" w:themeColor="background1"/>
      <w:sz w:val="20"/>
    </w:rPr>
  </w:style>
  <w:style w:type="paragraph" w:customStyle="1" w:styleId="TableTextCentered">
    <w:name w:val="Table Text Centered"/>
    <w:basedOn w:val="TableText"/>
    <w:link w:val="TableTextCenteredChar"/>
    <w:qFormat/>
    <w:rsid w:val="00B4352E"/>
    <w:pPr>
      <w:jc w:val="center"/>
    </w:pPr>
  </w:style>
  <w:style w:type="character" w:customStyle="1" w:styleId="TableTextChar">
    <w:name w:val="Table Text Char"/>
    <w:basedOn w:val="DefaultParagraphFont"/>
    <w:link w:val="TableText"/>
    <w:rsid w:val="00B4352E"/>
    <w:rPr>
      <w:sz w:val="20"/>
    </w:rPr>
  </w:style>
  <w:style w:type="paragraph" w:customStyle="1" w:styleId="TableSubheading">
    <w:name w:val="Table Subheading"/>
    <w:basedOn w:val="TableText"/>
    <w:link w:val="TableSubheadingChar"/>
    <w:qFormat/>
    <w:rsid w:val="00E0232E"/>
    <w:rPr>
      <w:rFonts w:asciiTheme="majorHAnsi" w:hAnsiTheme="majorHAnsi"/>
    </w:rPr>
  </w:style>
  <w:style w:type="paragraph" w:customStyle="1" w:styleId="TableTextMediumItalic">
    <w:name w:val="Table Text Medium Italic"/>
    <w:basedOn w:val="TableText"/>
    <w:link w:val="TableTextMediumItalicChar"/>
    <w:qFormat/>
    <w:rsid w:val="00E0232E"/>
    <w:rPr>
      <w:rFonts w:asciiTheme="majorHAnsi" w:hAnsiTheme="majorHAnsi"/>
      <w:i/>
    </w:rPr>
  </w:style>
  <w:style w:type="character" w:customStyle="1" w:styleId="TableSubheadingChar">
    <w:name w:val="Table Subheading Char"/>
    <w:basedOn w:val="TableTextChar"/>
    <w:link w:val="TableSubheading"/>
    <w:rsid w:val="00E0232E"/>
    <w:rPr>
      <w:rFonts w:asciiTheme="majorHAnsi" w:hAnsiTheme="majorHAnsi"/>
      <w:sz w:val="20"/>
    </w:rPr>
  </w:style>
  <w:style w:type="character" w:customStyle="1" w:styleId="TableTextMediumItalicChar">
    <w:name w:val="Table Text Medium Italic Char"/>
    <w:basedOn w:val="TableTextChar"/>
    <w:link w:val="TableTextMediumItalic"/>
    <w:rsid w:val="00E0232E"/>
    <w:rPr>
      <w:rFonts w:asciiTheme="majorHAnsi" w:hAnsiTheme="majorHAnsi"/>
      <w:i/>
      <w:sz w:val="20"/>
    </w:rPr>
  </w:style>
  <w:style w:type="table" w:customStyle="1" w:styleId="TexasToolkitCall-Outbox">
    <w:name w:val="Texas Toolkit Call-Out box"/>
    <w:basedOn w:val="TableNormal"/>
    <w:uiPriority w:val="99"/>
    <w:rsid w:val="00E0232E"/>
    <w:pPr>
      <w:spacing w:after="0" w:line="240" w:lineRule="auto"/>
    </w:pPr>
    <w:tblPr>
      <w:tblBorders>
        <w:top w:val="single" w:sz="18" w:space="0" w:color="FF8135" w:themeColor="accent2"/>
        <w:bottom w:val="single" w:sz="18" w:space="0" w:color="FF8135" w:themeColor="accent2"/>
      </w:tblBorders>
    </w:tblPr>
    <w:tcPr>
      <w:shd w:val="clear" w:color="auto" w:fill="FFE5D6" w:themeFill="accent2" w:themeFillTint="33"/>
    </w:tcPr>
  </w:style>
  <w:style w:type="paragraph" w:customStyle="1" w:styleId="TableSubheadingCentered">
    <w:name w:val="Table Subheading Centered"/>
    <w:basedOn w:val="TableTextCentered"/>
    <w:qFormat/>
    <w:rsid w:val="00463516"/>
    <w:rPr>
      <w:rFonts w:asciiTheme="majorHAnsi" w:hAnsiTheme="majorHAnsi"/>
    </w:rPr>
  </w:style>
  <w:style w:type="character" w:customStyle="1" w:styleId="Heading5Char">
    <w:name w:val="Heading 5 Char"/>
    <w:basedOn w:val="DefaultParagraphFont"/>
    <w:link w:val="Heading5"/>
    <w:uiPriority w:val="9"/>
    <w:rsid w:val="00297140"/>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373204"/>
    <w:rPr>
      <w:rFonts w:asciiTheme="majorHAnsi" w:eastAsiaTheme="majorEastAsia" w:hAnsiTheme="majorHAnsi" w:cstheme="majorBidi"/>
      <w:color w:val="1F6096" w:themeColor="accent1" w:themeShade="7F"/>
    </w:rPr>
  </w:style>
  <w:style w:type="character" w:customStyle="1" w:styleId="Heading7Char">
    <w:name w:val="Heading 7 Char"/>
    <w:basedOn w:val="DefaultParagraphFont"/>
    <w:link w:val="Heading7"/>
    <w:uiPriority w:val="9"/>
    <w:semiHidden/>
    <w:rsid w:val="00373204"/>
    <w:rPr>
      <w:rFonts w:asciiTheme="majorHAnsi" w:eastAsiaTheme="majorEastAsia" w:hAnsiTheme="majorHAnsi" w:cstheme="majorBidi"/>
      <w:i/>
      <w:iCs/>
      <w:color w:val="1F6096" w:themeColor="accent1" w:themeShade="7F"/>
    </w:rPr>
  </w:style>
  <w:style w:type="character" w:customStyle="1" w:styleId="Heading8Char">
    <w:name w:val="Heading 8 Char"/>
    <w:basedOn w:val="DefaultParagraphFont"/>
    <w:link w:val="Heading8"/>
    <w:uiPriority w:val="9"/>
    <w:semiHidden/>
    <w:rsid w:val="0037320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73204"/>
    <w:rPr>
      <w:rFonts w:asciiTheme="majorHAnsi" w:eastAsiaTheme="majorEastAsia" w:hAnsiTheme="majorHAnsi" w:cstheme="majorBidi"/>
      <w:i/>
      <w:iCs/>
      <w:color w:val="272727" w:themeColor="text1" w:themeTint="D8"/>
      <w:sz w:val="21"/>
      <w:szCs w:val="21"/>
    </w:rPr>
  </w:style>
  <w:style w:type="character" w:styleId="PageNumber">
    <w:name w:val="page number"/>
    <w:basedOn w:val="DefaultParagraphFont"/>
    <w:uiPriority w:val="99"/>
    <w:semiHidden/>
    <w:unhideWhenUsed/>
    <w:rsid w:val="00373204"/>
  </w:style>
  <w:style w:type="paragraph" w:styleId="DocumentMap">
    <w:name w:val="Document Map"/>
    <w:basedOn w:val="Normal"/>
    <w:link w:val="DocumentMapChar"/>
    <w:uiPriority w:val="99"/>
    <w:semiHidden/>
    <w:unhideWhenUsed/>
    <w:rsid w:val="00373204"/>
    <w:pPr>
      <w:spacing w:line="240" w:lineRule="auto"/>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373204"/>
    <w:rPr>
      <w:rFonts w:ascii="Times New Roman" w:hAnsi="Times New Roman" w:cs="Times New Roman"/>
    </w:rPr>
  </w:style>
  <w:style w:type="paragraph" w:customStyle="1" w:styleId="Bullet2">
    <w:name w:val="Bullet 2"/>
    <w:basedOn w:val="BodyText"/>
    <w:qFormat/>
    <w:rsid w:val="00373204"/>
    <w:pPr>
      <w:tabs>
        <w:tab w:val="num" w:pos="360"/>
        <w:tab w:val="num" w:pos="1440"/>
      </w:tabs>
      <w:spacing w:after="120" w:line="240" w:lineRule="auto"/>
    </w:pPr>
    <w:rPr>
      <w:rFonts w:cs="Times New Roman"/>
    </w:rPr>
  </w:style>
  <w:style w:type="paragraph" w:customStyle="1" w:styleId="Bullet3">
    <w:name w:val="Bullet 3"/>
    <w:basedOn w:val="BodyText"/>
    <w:qFormat/>
    <w:rsid w:val="00373204"/>
    <w:pPr>
      <w:tabs>
        <w:tab w:val="num" w:pos="360"/>
        <w:tab w:val="num" w:pos="2160"/>
      </w:tabs>
      <w:spacing w:after="120" w:line="240" w:lineRule="auto"/>
      <w:contextualSpacing/>
    </w:pPr>
    <w:rPr>
      <w:rFonts w:eastAsiaTheme="minorEastAsia"/>
    </w:rPr>
  </w:style>
  <w:style w:type="numbering" w:customStyle="1" w:styleId="AIRBullet">
    <w:name w:val="AIR Bullet"/>
    <w:uiPriority w:val="99"/>
    <w:rsid w:val="00373204"/>
    <w:pPr>
      <w:numPr>
        <w:numId w:val="2"/>
      </w:numPr>
    </w:pPr>
  </w:style>
  <w:style w:type="paragraph" w:customStyle="1" w:styleId="NumberedList">
    <w:name w:val="Numbered List"/>
    <w:qFormat/>
    <w:rsid w:val="009E271C"/>
    <w:pPr>
      <w:numPr>
        <w:numId w:val="4"/>
      </w:numPr>
      <w:spacing w:after="120"/>
      <w:ind w:left="720"/>
      <w:contextualSpacing/>
    </w:pPr>
  </w:style>
  <w:style w:type="paragraph" w:customStyle="1" w:styleId="Bullet1NumberedList">
    <w:name w:val="Bullet 1 Numbered List"/>
    <w:basedOn w:val="NumberedList"/>
    <w:qFormat/>
    <w:rsid w:val="002D1411"/>
    <w:pPr>
      <w:ind w:left="1440"/>
    </w:pPr>
  </w:style>
  <w:style w:type="character" w:customStyle="1" w:styleId="BodyTextMedium">
    <w:name w:val="Body Text Medium"/>
    <w:basedOn w:val="DefaultParagraphFont"/>
    <w:uiPriority w:val="1"/>
    <w:qFormat/>
    <w:rsid w:val="002D1411"/>
    <w:rPr>
      <w:rFonts w:asciiTheme="majorHAnsi" w:hAnsiTheme="majorHAnsi"/>
    </w:rPr>
  </w:style>
  <w:style w:type="paragraph" w:customStyle="1" w:styleId="TableTitle">
    <w:name w:val="Table Title"/>
    <w:qFormat/>
    <w:rsid w:val="00297140"/>
    <w:pPr>
      <w:spacing w:before="120" w:after="120" w:line="240" w:lineRule="auto"/>
    </w:pPr>
    <w:rPr>
      <w:rFonts w:asciiTheme="majorHAnsi" w:eastAsiaTheme="majorEastAsia" w:hAnsiTheme="majorHAnsi" w:cstheme="majorBidi"/>
      <w:color w:val="1F6096" w:themeColor="accent1" w:themeShade="7F"/>
    </w:rPr>
  </w:style>
  <w:style w:type="paragraph" w:customStyle="1" w:styleId="TableBullet">
    <w:name w:val="Table Bullet"/>
    <w:basedOn w:val="TableText"/>
    <w:qFormat/>
    <w:rsid w:val="00117362"/>
    <w:pPr>
      <w:numPr>
        <w:numId w:val="14"/>
      </w:numPr>
      <w:ind w:left="345"/>
    </w:pPr>
  </w:style>
  <w:style w:type="paragraph" w:customStyle="1" w:styleId="TableNumberedList">
    <w:name w:val="Table Numbered List"/>
    <w:qFormat/>
    <w:rsid w:val="00E945A1"/>
    <w:pPr>
      <w:numPr>
        <w:numId w:val="6"/>
      </w:numPr>
      <w:spacing w:line="240" w:lineRule="auto"/>
    </w:pPr>
    <w:rPr>
      <w:sz w:val="20"/>
    </w:rPr>
  </w:style>
  <w:style w:type="paragraph" w:customStyle="1" w:styleId="TableNote">
    <w:name w:val="Table Note"/>
    <w:basedOn w:val="TableText"/>
    <w:qFormat/>
    <w:rsid w:val="00297140"/>
    <w:pPr>
      <w:spacing w:before="80"/>
    </w:pPr>
    <w:rPr>
      <w:spacing w:val="-2"/>
      <w:sz w:val="18"/>
    </w:rPr>
  </w:style>
  <w:style w:type="paragraph" w:customStyle="1" w:styleId="TableTextMedium">
    <w:name w:val="Table Text Medium"/>
    <w:basedOn w:val="TableText"/>
    <w:link w:val="TableTextMediumChar"/>
    <w:qFormat/>
    <w:rsid w:val="00A440E6"/>
    <w:rPr>
      <w:rFonts w:asciiTheme="majorHAnsi" w:hAnsiTheme="majorHAnsi"/>
    </w:rPr>
  </w:style>
  <w:style w:type="character" w:customStyle="1" w:styleId="TableTextMediumChar">
    <w:name w:val="Table Text Medium Char"/>
    <w:basedOn w:val="TableTextChar"/>
    <w:link w:val="TableTextMedium"/>
    <w:rsid w:val="00A440E6"/>
    <w:rPr>
      <w:rFonts w:asciiTheme="majorHAnsi" w:hAnsiTheme="majorHAnsi"/>
      <w:sz w:val="20"/>
    </w:rPr>
  </w:style>
  <w:style w:type="paragraph" w:customStyle="1" w:styleId="TableText14pt">
    <w:name w:val="Table Text 14 pt"/>
    <w:link w:val="TableText14ptChar"/>
    <w:qFormat/>
    <w:rsid w:val="00D039A0"/>
    <w:pPr>
      <w:jc w:val="center"/>
    </w:pPr>
    <w:rPr>
      <w:sz w:val="28"/>
    </w:rPr>
  </w:style>
  <w:style w:type="character" w:customStyle="1" w:styleId="TableTextCenteredChar">
    <w:name w:val="Table Text Centered Char"/>
    <w:basedOn w:val="TableTextChar"/>
    <w:link w:val="TableTextCentered"/>
    <w:rsid w:val="00950C3A"/>
    <w:rPr>
      <w:sz w:val="20"/>
    </w:rPr>
  </w:style>
  <w:style w:type="character" w:customStyle="1" w:styleId="TableText14ptChar">
    <w:name w:val="Table Text 14 pt Char"/>
    <w:basedOn w:val="TableTextCenteredChar"/>
    <w:link w:val="TableText14pt"/>
    <w:rsid w:val="00D039A0"/>
    <w:rPr>
      <w:sz w:val="28"/>
    </w:rPr>
  </w:style>
  <w:style w:type="paragraph" w:customStyle="1" w:styleId="TableText12pt">
    <w:name w:val="Table Text 12 pt"/>
    <w:link w:val="TableText12ptChar"/>
    <w:qFormat/>
    <w:rsid w:val="00D039A0"/>
    <w:pPr>
      <w:spacing w:after="0" w:line="240" w:lineRule="auto"/>
    </w:pPr>
    <w:rPr>
      <w:sz w:val="24"/>
    </w:rPr>
  </w:style>
  <w:style w:type="paragraph" w:customStyle="1" w:styleId="TableText8pt">
    <w:name w:val="Table Text 8 pt"/>
    <w:link w:val="TableText8ptChar"/>
    <w:qFormat/>
    <w:rsid w:val="00950C3A"/>
    <w:pPr>
      <w:spacing w:after="0" w:line="240" w:lineRule="auto"/>
    </w:pPr>
    <w:rPr>
      <w:sz w:val="16"/>
      <w:szCs w:val="28"/>
    </w:rPr>
  </w:style>
  <w:style w:type="character" w:customStyle="1" w:styleId="TableText12ptChar">
    <w:name w:val="Table Text 12 pt Char"/>
    <w:basedOn w:val="DefaultParagraphFont"/>
    <w:link w:val="TableText12pt"/>
    <w:rsid w:val="00D039A0"/>
    <w:rPr>
      <w:sz w:val="24"/>
    </w:rPr>
  </w:style>
  <w:style w:type="character" w:customStyle="1" w:styleId="TableText8ptChar">
    <w:name w:val="Table Text 8 pt Char"/>
    <w:basedOn w:val="DefaultParagraphFont"/>
    <w:link w:val="TableText8pt"/>
    <w:rsid w:val="00950C3A"/>
    <w:rPr>
      <w:sz w:val="16"/>
      <w:szCs w:val="28"/>
    </w:rPr>
  </w:style>
  <w:style w:type="paragraph" w:customStyle="1" w:styleId="TableTextItalic">
    <w:name w:val="Table Text Italic"/>
    <w:basedOn w:val="TableText"/>
    <w:qFormat/>
    <w:rsid w:val="00F57E4D"/>
    <w:rPr>
      <w:i/>
    </w:rPr>
  </w:style>
  <w:style w:type="character" w:customStyle="1" w:styleId="NoSpacingChar">
    <w:name w:val="No Spacing Char"/>
    <w:basedOn w:val="DefaultParagraphFont"/>
    <w:link w:val="NoSpacing"/>
    <w:uiPriority w:val="1"/>
    <w:rsid w:val="007914C6"/>
  </w:style>
  <w:style w:type="paragraph" w:customStyle="1" w:styleId="Checkmarkbulletlist">
    <w:name w:val="Checkmark bullet list"/>
    <w:basedOn w:val="Bullet1"/>
    <w:qFormat/>
    <w:rsid w:val="00795AD6"/>
    <w:pPr>
      <w:numPr>
        <w:numId w:val="7"/>
      </w:numPr>
      <w:ind w:left="720"/>
    </w:pPr>
  </w:style>
  <w:style w:type="table" w:customStyle="1" w:styleId="TableGrid1">
    <w:name w:val="Table Grid1"/>
    <w:basedOn w:val="TableNormal"/>
    <w:next w:val="TableGrid"/>
    <w:uiPriority w:val="39"/>
    <w:rsid w:val="000F6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E111FE"/>
    <w:pPr>
      <w:spacing w:after="0" w:line="240" w:lineRule="auto"/>
    </w:pPr>
    <w:tblPr>
      <w:tblStyleRowBandSize w:val="1"/>
      <w:tblStyleColBandSize w:val="1"/>
      <w:tblBorders>
        <w:top w:val="single" w:sz="4" w:space="0" w:color="CEE3F5" w:themeColor="accent1" w:themeTint="66"/>
        <w:left w:val="single" w:sz="4" w:space="0" w:color="CEE3F5" w:themeColor="accent1" w:themeTint="66"/>
        <w:bottom w:val="single" w:sz="4" w:space="0" w:color="CEE3F5" w:themeColor="accent1" w:themeTint="66"/>
        <w:right w:val="single" w:sz="4" w:space="0" w:color="CEE3F5" w:themeColor="accent1" w:themeTint="66"/>
        <w:insideH w:val="single" w:sz="4" w:space="0" w:color="CEE3F5" w:themeColor="accent1" w:themeTint="66"/>
        <w:insideV w:val="single" w:sz="4" w:space="0" w:color="CEE3F5" w:themeColor="accent1" w:themeTint="66"/>
      </w:tblBorders>
    </w:tblPr>
    <w:tblStylePr w:type="firstRow">
      <w:rPr>
        <w:b/>
        <w:bCs/>
      </w:rPr>
      <w:tblPr/>
      <w:tcPr>
        <w:tcBorders>
          <w:bottom w:val="single" w:sz="12" w:space="0" w:color="B6D5F0" w:themeColor="accent1" w:themeTint="99"/>
        </w:tcBorders>
      </w:tcPr>
    </w:tblStylePr>
    <w:tblStylePr w:type="lastRow">
      <w:rPr>
        <w:b/>
        <w:bCs/>
      </w:rPr>
      <w:tblPr/>
      <w:tcPr>
        <w:tcBorders>
          <w:top w:val="double" w:sz="2" w:space="0" w:color="B6D5F0"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788712">
      <w:bodyDiv w:val="1"/>
      <w:marLeft w:val="0"/>
      <w:marRight w:val="0"/>
      <w:marTop w:val="0"/>
      <w:marBottom w:val="0"/>
      <w:divBdr>
        <w:top w:val="none" w:sz="0" w:space="0" w:color="auto"/>
        <w:left w:val="none" w:sz="0" w:space="0" w:color="auto"/>
        <w:bottom w:val="none" w:sz="0" w:space="0" w:color="auto"/>
        <w:right w:val="none" w:sz="0" w:space="0" w:color="auto"/>
      </w:divBdr>
    </w:div>
    <w:div w:id="754329522">
      <w:bodyDiv w:val="1"/>
      <w:marLeft w:val="0"/>
      <w:marRight w:val="0"/>
      <w:marTop w:val="0"/>
      <w:marBottom w:val="0"/>
      <w:divBdr>
        <w:top w:val="none" w:sz="0" w:space="0" w:color="auto"/>
        <w:left w:val="none" w:sz="0" w:space="0" w:color="auto"/>
        <w:bottom w:val="none" w:sz="0" w:space="0" w:color="auto"/>
        <w:right w:val="none" w:sz="0" w:space="0" w:color="auto"/>
      </w:divBdr>
      <w:divsChild>
        <w:div w:id="408036492">
          <w:marLeft w:val="0"/>
          <w:marRight w:val="0"/>
          <w:marTop w:val="0"/>
          <w:marBottom w:val="0"/>
          <w:divBdr>
            <w:top w:val="none" w:sz="0" w:space="0" w:color="auto"/>
            <w:left w:val="none" w:sz="0" w:space="0" w:color="auto"/>
            <w:bottom w:val="none" w:sz="0" w:space="0" w:color="auto"/>
            <w:right w:val="none" w:sz="0" w:space="0" w:color="auto"/>
          </w:divBdr>
          <w:divsChild>
            <w:div w:id="70080729">
              <w:marLeft w:val="0"/>
              <w:marRight w:val="0"/>
              <w:marTop w:val="0"/>
              <w:marBottom w:val="0"/>
              <w:divBdr>
                <w:top w:val="none" w:sz="0" w:space="0" w:color="auto"/>
                <w:left w:val="none" w:sz="0" w:space="0" w:color="auto"/>
                <w:bottom w:val="none" w:sz="0" w:space="0" w:color="auto"/>
                <w:right w:val="none" w:sz="0" w:space="0" w:color="auto"/>
              </w:divBdr>
              <w:divsChild>
                <w:div w:id="461266240">
                  <w:marLeft w:val="0"/>
                  <w:marRight w:val="0"/>
                  <w:marTop w:val="0"/>
                  <w:marBottom w:val="0"/>
                  <w:divBdr>
                    <w:top w:val="none" w:sz="0" w:space="0" w:color="auto"/>
                    <w:left w:val="none" w:sz="0" w:space="0" w:color="auto"/>
                    <w:bottom w:val="none" w:sz="0" w:space="0" w:color="auto"/>
                    <w:right w:val="none" w:sz="0" w:space="0" w:color="auto"/>
                  </w:divBdr>
                  <w:divsChild>
                    <w:div w:id="42240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25753">
      <w:bodyDiv w:val="1"/>
      <w:marLeft w:val="0"/>
      <w:marRight w:val="0"/>
      <w:marTop w:val="0"/>
      <w:marBottom w:val="0"/>
      <w:divBdr>
        <w:top w:val="none" w:sz="0" w:space="0" w:color="auto"/>
        <w:left w:val="none" w:sz="0" w:space="0" w:color="auto"/>
        <w:bottom w:val="none" w:sz="0" w:space="0" w:color="auto"/>
        <w:right w:val="none" w:sz="0" w:space="0" w:color="auto"/>
      </w:divBdr>
      <w:divsChild>
        <w:div w:id="192227052">
          <w:marLeft w:val="0"/>
          <w:marRight w:val="0"/>
          <w:marTop w:val="0"/>
          <w:marBottom w:val="0"/>
          <w:divBdr>
            <w:top w:val="none" w:sz="0" w:space="0" w:color="auto"/>
            <w:left w:val="none" w:sz="0" w:space="0" w:color="auto"/>
            <w:bottom w:val="none" w:sz="0" w:space="0" w:color="auto"/>
            <w:right w:val="none" w:sz="0" w:space="0" w:color="auto"/>
          </w:divBdr>
        </w:div>
        <w:div w:id="822352786">
          <w:marLeft w:val="0"/>
          <w:marRight w:val="0"/>
          <w:marTop w:val="0"/>
          <w:marBottom w:val="0"/>
          <w:divBdr>
            <w:top w:val="none" w:sz="0" w:space="0" w:color="auto"/>
            <w:left w:val="none" w:sz="0" w:space="0" w:color="auto"/>
            <w:bottom w:val="none" w:sz="0" w:space="0" w:color="auto"/>
            <w:right w:val="none" w:sz="0" w:space="0" w:color="auto"/>
          </w:divBdr>
        </w:div>
        <w:div w:id="835878318">
          <w:marLeft w:val="0"/>
          <w:marRight w:val="0"/>
          <w:marTop w:val="0"/>
          <w:marBottom w:val="0"/>
          <w:divBdr>
            <w:top w:val="none" w:sz="0" w:space="0" w:color="auto"/>
            <w:left w:val="none" w:sz="0" w:space="0" w:color="auto"/>
            <w:bottom w:val="none" w:sz="0" w:space="0" w:color="auto"/>
            <w:right w:val="none" w:sz="0" w:space="0" w:color="auto"/>
          </w:divBdr>
        </w:div>
        <w:div w:id="840513315">
          <w:marLeft w:val="0"/>
          <w:marRight w:val="0"/>
          <w:marTop w:val="0"/>
          <w:marBottom w:val="0"/>
          <w:divBdr>
            <w:top w:val="none" w:sz="0" w:space="0" w:color="auto"/>
            <w:left w:val="none" w:sz="0" w:space="0" w:color="auto"/>
            <w:bottom w:val="none" w:sz="0" w:space="0" w:color="auto"/>
            <w:right w:val="none" w:sz="0" w:space="0" w:color="auto"/>
          </w:divBdr>
        </w:div>
        <w:div w:id="1076711124">
          <w:marLeft w:val="0"/>
          <w:marRight w:val="0"/>
          <w:marTop w:val="0"/>
          <w:marBottom w:val="0"/>
          <w:divBdr>
            <w:top w:val="none" w:sz="0" w:space="0" w:color="auto"/>
            <w:left w:val="none" w:sz="0" w:space="0" w:color="auto"/>
            <w:bottom w:val="none" w:sz="0" w:space="0" w:color="auto"/>
            <w:right w:val="none" w:sz="0" w:space="0" w:color="auto"/>
          </w:divBdr>
        </w:div>
        <w:div w:id="1179465589">
          <w:marLeft w:val="0"/>
          <w:marRight w:val="0"/>
          <w:marTop w:val="0"/>
          <w:marBottom w:val="0"/>
          <w:divBdr>
            <w:top w:val="none" w:sz="0" w:space="0" w:color="auto"/>
            <w:left w:val="none" w:sz="0" w:space="0" w:color="auto"/>
            <w:bottom w:val="none" w:sz="0" w:space="0" w:color="auto"/>
            <w:right w:val="none" w:sz="0" w:space="0" w:color="auto"/>
          </w:divBdr>
        </w:div>
        <w:div w:id="1189175326">
          <w:marLeft w:val="0"/>
          <w:marRight w:val="0"/>
          <w:marTop w:val="0"/>
          <w:marBottom w:val="0"/>
          <w:divBdr>
            <w:top w:val="none" w:sz="0" w:space="0" w:color="auto"/>
            <w:left w:val="none" w:sz="0" w:space="0" w:color="auto"/>
            <w:bottom w:val="none" w:sz="0" w:space="0" w:color="auto"/>
            <w:right w:val="none" w:sz="0" w:space="0" w:color="auto"/>
          </w:divBdr>
        </w:div>
        <w:div w:id="1248733499">
          <w:marLeft w:val="0"/>
          <w:marRight w:val="0"/>
          <w:marTop w:val="0"/>
          <w:marBottom w:val="0"/>
          <w:divBdr>
            <w:top w:val="none" w:sz="0" w:space="0" w:color="auto"/>
            <w:left w:val="none" w:sz="0" w:space="0" w:color="auto"/>
            <w:bottom w:val="none" w:sz="0" w:space="0" w:color="auto"/>
            <w:right w:val="none" w:sz="0" w:space="0" w:color="auto"/>
          </w:divBdr>
        </w:div>
        <w:div w:id="1921715429">
          <w:marLeft w:val="0"/>
          <w:marRight w:val="0"/>
          <w:marTop w:val="0"/>
          <w:marBottom w:val="0"/>
          <w:divBdr>
            <w:top w:val="none" w:sz="0" w:space="0" w:color="auto"/>
            <w:left w:val="none" w:sz="0" w:space="0" w:color="auto"/>
            <w:bottom w:val="none" w:sz="0" w:space="0" w:color="auto"/>
            <w:right w:val="none" w:sz="0" w:space="0" w:color="auto"/>
          </w:divBdr>
        </w:div>
      </w:divsChild>
    </w:div>
    <w:div w:id="1542748752">
      <w:bodyDiv w:val="1"/>
      <w:marLeft w:val="0"/>
      <w:marRight w:val="0"/>
      <w:marTop w:val="0"/>
      <w:marBottom w:val="0"/>
      <w:divBdr>
        <w:top w:val="none" w:sz="0" w:space="0" w:color="auto"/>
        <w:left w:val="none" w:sz="0" w:space="0" w:color="auto"/>
        <w:bottom w:val="none" w:sz="0" w:space="0" w:color="auto"/>
        <w:right w:val="none" w:sz="0" w:space="0" w:color="auto"/>
      </w:divBdr>
      <w:divsChild>
        <w:div w:id="85031854">
          <w:marLeft w:val="0"/>
          <w:marRight w:val="0"/>
          <w:marTop w:val="0"/>
          <w:marBottom w:val="0"/>
          <w:divBdr>
            <w:top w:val="none" w:sz="0" w:space="0" w:color="auto"/>
            <w:left w:val="none" w:sz="0" w:space="0" w:color="auto"/>
            <w:bottom w:val="none" w:sz="0" w:space="0" w:color="auto"/>
            <w:right w:val="none" w:sz="0" w:space="0" w:color="auto"/>
          </w:divBdr>
        </w:div>
        <w:div w:id="94255901">
          <w:marLeft w:val="0"/>
          <w:marRight w:val="0"/>
          <w:marTop w:val="0"/>
          <w:marBottom w:val="0"/>
          <w:divBdr>
            <w:top w:val="none" w:sz="0" w:space="0" w:color="auto"/>
            <w:left w:val="none" w:sz="0" w:space="0" w:color="auto"/>
            <w:bottom w:val="none" w:sz="0" w:space="0" w:color="auto"/>
            <w:right w:val="none" w:sz="0" w:space="0" w:color="auto"/>
          </w:divBdr>
        </w:div>
        <w:div w:id="463163947">
          <w:marLeft w:val="0"/>
          <w:marRight w:val="0"/>
          <w:marTop w:val="0"/>
          <w:marBottom w:val="0"/>
          <w:divBdr>
            <w:top w:val="none" w:sz="0" w:space="0" w:color="auto"/>
            <w:left w:val="none" w:sz="0" w:space="0" w:color="auto"/>
            <w:bottom w:val="none" w:sz="0" w:space="0" w:color="auto"/>
            <w:right w:val="none" w:sz="0" w:space="0" w:color="auto"/>
          </w:divBdr>
        </w:div>
        <w:div w:id="1427925530">
          <w:marLeft w:val="0"/>
          <w:marRight w:val="0"/>
          <w:marTop w:val="0"/>
          <w:marBottom w:val="0"/>
          <w:divBdr>
            <w:top w:val="none" w:sz="0" w:space="0" w:color="auto"/>
            <w:left w:val="none" w:sz="0" w:space="0" w:color="auto"/>
            <w:bottom w:val="none" w:sz="0" w:space="0" w:color="auto"/>
            <w:right w:val="none" w:sz="0" w:space="0" w:color="auto"/>
          </w:divBdr>
        </w:div>
        <w:div w:id="1727145820">
          <w:marLeft w:val="0"/>
          <w:marRight w:val="0"/>
          <w:marTop w:val="0"/>
          <w:marBottom w:val="0"/>
          <w:divBdr>
            <w:top w:val="none" w:sz="0" w:space="0" w:color="auto"/>
            <w:left w:val="none" w:sz="0" w:space="0" w:color="auto"/>
            <w:bottom w:val="none" w:sz="0" w:space="0" w:color="auto"/>
            <w:right w:val="none" w:sz="0" w:space="0" w:color="auto"/>
          </w:divBdr>
        </w:div>
        <w:div w:id="1738824981">
          <w:marLeft w:val="0"/>
          <w:marRight w:val="0"/>
          <w:marTop w:val="0"/>
          <w:marBottom w:val="0"/>
          <w:divBdr>
            <w:top w:val="none" w:sz="0" w:space="0" w:color="auto"/>
            <w:left w:val="none" w:sz="0" w:space="0" w:color="auto"/>
            <w:bottom w:val="none" w:sz="0" w:space="0" w:color="auto"/>
            <w:right w:val="none" w:sz="0" w:space="0" w:color="auto"/>
          </w:divBdr>
        </w:div>
        <w:div w:id="2007049365">
          <w:marLeft w:val="0"/>
          <w:marRight w:val="0"/>
          <w:marTop w:val="0"/>
          <w:marBottom w:val="0"/>
          <w:divBdr>
            <w:top w:val="none" w:sz="0" w:space="0" w:color="auto"/>
            <w:left w:val="none" w:sz="0" w:space="0" w:color="auto"/>
            <w:bottom w:val="none" w:sz="0" w:space="0" w:color="auto"/>
            <w:right w:val="none" w:sz="0" w:space="0" w:color="auto"/>
          </w:divBdr>
        </w:div>
        <w:div w:id="2081095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http://www.gtlcenter.org/sites/default/files/GTL_Resource_04_Agendas-ed-fmt.doc)" TargetMode="External"/><Relationship Id="rId39" Type="http://schemas.openxmlformats.org/officeDocument/2006/relationships/hyperlink" Target="http://www.gtlcenter.org/sites/default/files/Coherence_Alignment_Tool.pdf)" TargetMode="Externa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yperlink" Target="http://ritter.tea.state.tx.us/peims/standards/weds/" TargetMode="External"/><Relationship Id="rId42" Type="http://schemas.openxmlformats.org/officeDocument/2006/relationships/hyperlink" Target="http://www.gtlcenter.org/sites/default/files/Implementation_Tips.pdf)" TargetMode="External"/><Relationship Id="rId47" Type="http://schemas.openxmlformats.org/officeDocument/2006/relationships/hyperlink" Target="http://www.relnei.org/events/skill-builder-archive/logic-model-to-program-evaluation.html"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png"/><Relationship Id="rId25" Type="http://schemas.openxmlformats.org/officeDocument/2006/relationships/hyperlink" Target="http://tea.texas.gov/About_TEA/Laws_and_Rules/NCLB_and_ESEA/Title_I,_Part_A_-_Improving_Basic_Programs/State_Plan_To_Ensure_Equitable_Access_to_Excellent_Educators/)" TargetMode="External"/><Relationship Id="rId33" Type="http://schemas.openxmlformats.org/officeDocument/2006/relationships/hyperlink" Target="https://en.oxforddictionaries.com/definition/us/person_of_color)" TargetMode="External"/><Relationship Id="rId38" Type="http://schemas.openxmlformats.org/officeDocument/2006/relationships/hyperlink" Target="http://www.gtlcenter.org/sites/default/files/14-2591_GTL_Talent_Dev_Framework-ed_110714.pdf)" TargetMode="External"/><Relationship Id="rId46" Type="http://schemas.openxmlformats.org/officeDocument/2006/relationships/hyperlink" Target="https://www.wkkf.org/resource-directory/resource/2006/02/wk-kellogg-foundation-logic-model-development-guid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hyperlink" Target="http://www.gtlcenter.org/sites/default/files/GTL_Resource_05_IncorpFeedback-ed-fmt.doc" TargetMode="External"/><Relationship Id="rId41" Type="http://schemas.openxmlformats.org/officeDocument/2006/relationships/hyperlink" Target="http://www.gtlcenter.org/sites/default/files/GTL_Resource_05_IncorpFeedback-ed-fmt.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2.ed.gov/programs/titleiparta/resources.html" TargetMode="External"/><Relationship Id="rId32" Type="http://schemas.openxmlformats.org/officeDocument/2006/relationships/hyperlink" Target="http://ritter.tea.state.tx.us/peims/standards/weds/" TargetMode="External"/><Relationship Id="rId37" Type="http://schemas.openxmlformats.org/officeDocument/2006/relationships/hyperlink" Target="http://www.cedr.us/papers/working/CEDR%20WP%202014-4.pdf" TargetMode="External"/><Relationship Id="rId40" Type="http://schemas.openxmlformats.org/officeDocument/2006/relationships/hyperlink" Target="https://easn.grads360.org/" TargetMode="External"/><Relationship Id="rId45" Type="http://schemas.openxmlformats.org/officeDocument/2006/relationships/hyperlink" Target="https://easn.grads360.org/"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ed.gov/essa?src=rn)" TargetMode="External"/><Relationship Id="rId28" Type="http://schemas.openxmlformats.org/officeDocument/2006/relationships/hyperlink" Target="http://www.gtlcenter.org/sites/default/files/Communication_Guidebook.pdf)" TargetMode="External"/><Relationship Id="rId36" Type="http://schemas.openxmlformats.org/officeDocument/2006/relationships/hyperlink" Target="http://www.statutes.legis.state.tx.us/Docs/FA/htm/FA.65.htm" TargetMode="External"/><Relationship Id="rId49" Type="http://schemas.openxmlformats.org/officeDocument/2006/relationships/footer" Target="footer6.xml"/><Relationship Id="rId10" Type="http://schemas.openxmlformats.org/officeDocument/2006/relationships/hyperlink" Target="https://texasequitytoolkit.org" TargetMode="External"/><Relationship Id="rId19" Type="http://schemas.openxmlformats.org/officeDocument/2006/relationships/footer" Target="footer4.xml"/><Relationship Id="rId31" Type="http://schemas.openxmlformats.org/officeDocument/2006/relationships/hyperlink" Target="http://www.gtlcenter.org/sites/default/files/TeacherEffectiveness_ESSA.pdf" TargetMode="External"/><Relationship Id="rId44" Type="http://schemas.openxmlformats.org/officeDocument/2006/relationships/hyperlink" Target="http://www.gtlcenter.org/sites/default/files/Coherence_Alignment_Tool.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yperlink" Target="http://www.gtlcenter.org/sites/default/files/Communication_Guidebook.pdf)" TargetMode="External"/><Relationship Id="rId30" Type="http://schemas.openxmlformats.org/officeDocument/2006/relationships/hyperlink" Target="https://www2.ed.gov/policy/elsec/leg/esea02/pg20.html)" TargetMode="External"/><Relationship Id="rId35" Type="http://schemas.openxmlformats.org/officeDocument/2006/relationships/hyperlink" Target="http://www.statutes.legis.state.tx.us/?link=ED" TargetMode="External"/><Relationship Id="rId43" Type="http://schemas.openxmlformats.org/officeDocument/2006/relationships/hyperlink" Target="http://www.gtlcenter.org/sites/default/files/14-2591_GTL_Talent_Dev_Framework-ed_110714.pdf)" TargetMode="External"/><Relationship Id="rId48" Type="http://schemas.openxmlformats.org/officeDocument/2006/relationships/hyperlink" Target="http://www.gtlcenter.org/sites/default/files/Monitoring_Tool.pdf" TargetMode="External"/><Relationship Id="rId8" Type="http://schemas.openxmlformats.org/officeDocument/2006/relationships/image" Target="media/image1.png"/><Relationship Id="rId51"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Texas Equity Toolkit">
      <a:dk1>
        <a:sysClr val="windowText" lastClr="000000"/>
      </a:dk1>
      <a:lt1>
        <a:sysClr val="window" lastClr="FFFFFF"/>
      </a:lt1>
      <a:dk2>
        <a:srgbClr val="44546A"/>
      </a:dk2>
      <a:lt2>
        <a:srgbClr val="E7E6E6"/>
      </a:lt2>
      <a:accent1>
        <a:srgbClr val="86BBE6"/>
      </a:accent1>
      <a:accent2>
        <a:srgbClr val="FF8135"/>
      </a:accent2>
      <a:accent3>
        <a:srgbClr val="A5A5A5"/>
      </a:accent3>
      <a:accent4>
        <a:srgbClr val="FFC000"/>
      </a:accent4>
      <a:accent5>
        <a:srgbClr val="00437B"/>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0AD43-6876-49ED-860E-82114C58E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2090</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American Institutes for Research</dc:creator>
  <cp:keywords/>
  <dc:description/>
  <cp:lastModifiedBy>Garcia, Brenda</cp:lastModifiedBy>
  <cp:revision>3</cp:revision>
  <cp:lastPrinted>2017-03-27T19:10:00Z</cp:lastPrinted>
  <dcterms:created xsi:type="dcterms:W3CDTF">2018-07-30T20:03:00Z</dcterms:created>
  <dcterms:modified xsi:type="dcterms:W3CDTF">2018-07-30T20:25:00Z</dcterms:modified>
</cp:coreProperties>
</file>