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421CC" w14:textId="77777777" w:rsidR="000F64BB" w:rsidRDefault="000F64BB" w:rsidP="00F9321C">
      <w:pPr>
        <w:pStyle w:val="Heading1"/>
        <w:spacing w:before="0"/>
      </w:pPr>
      <w:r>
        <w:t>Texas Equitable Access Roadmap: A Toolkit to Support Texas Districts to Develop Local Equitable Access Plans</w:t>
      </w:r>
    </w:p>
    <w:p w14:paraId="7A515C35" w14:textId="77777777" w:rsidR="000F64BB" w:rsidRDefault="000F64BB" w:rsidP="00850E53">
      <w:pPr>
        <w:pStyle w:val="Heading2"/>
      </w:pPr>
      <w:r>
        <w:t>Introduction</w:t>
      </w:r>
    </w:p>
    <w:p w14:paraId="03A38ED8" w14:textId="77777777" w:rsidR="006351AE" w:rsidRPr="006351AE" w:rsidRDefault="006351AE" w:rsidP="006351AE">
      <w:pPr>
        <w:pStyle w:val="BodyText"/>
        <w:rPr>
          <w:spacing w:val="-4"/>
        </w:rPr>
      </w:pPr>
      <w:r w:rsidRPr="006351AE">
        <w:rPr>
          <w:spacing w:val="-4"/>
        </w:rPr>
        <w:t xml:space="preserve">In 2014, the U.S. Department of Education launched the Excellent Educators for All initiative to support states and districts in ensuring that students of color and low-income students have equitable access to excellent educators. All 50 states submitted equitable access plans, documenting the equity gaps that students in their state faced, the results of a root cause analysis conducted </w:t>
      </w:r>
      <w:proofErr w:type="gramStart"/>
      <w:r w:rsidRPr="006351AE">
        <w:rPr>
          <w:spacing w:val="-4"/>
        </w:rPr>
        <w:t>to better understand</w:t>
      </w:r>
      <w:proofErr w:type="gramEnd"/>
      <w:r w:rsidRPr="006351AE">
        <w:rPr>
          <w:spacing w:val="-4"/>
        </w:rPr>
        <w:t xml:space="preserve"> the causes of these equity gaps, and plans to implement strategies to close equity gaps and monitor progress of implementation. In December 2015, Congress passed the Every Student Succeeds Act (ESSA),</w:t>
      </w:r>
      <w:r w:rsidRPr="006351AE">
        <w:rPr>
          <w:spacing w:val="-4"/>
          <w:vertAlign w:val="superscript"/>
        </w:rPr>
        <w:footnoteReference w:id="1"/>
      </w:r>
      <w:r w:rsidRPr="006351AE">
        <w:rPr>
          <w:spacing w:val="-4"/>
        </w:rPr>
        <w:t xml:space="preserve"> which requires states and districts to determine whether low-income students and students of color in Title I schools </w:t>
      </w:r>
      <w:proofErr w:type="gramStart"/>
      <w:r w:rsidRPr="006351AE">
        <w:rPr>
          <w:spacing w:val="-4"/>
        </w:rPr>
        <w:t>are served</w:t>
      </w:r>
      <w:proofErr w:type="gramEnd"/>
      <w:r w:rsidRPr="006351AE">
        <w:rPr>
          <w:spacing w:val="-4"/>
        </w:rPr>
        <w:t xml:space="preserve"> at disproportionate rates by ineffective, out-of-field, or inexperienced teachers, and take steps to address any identified disproportionalities (i.e., gaps in equity).</w:t>
      </w:r>
    </w:p>
    <w:p w14:paraId="4D7DD58B" w14:textId="663AC0CB" w:rsidR="000F64BB" w:rsidRDefault="006351AE" w:rsidP="00850E53">
      <w:pPr>
        <w:pStyle w:val="BodyText"/>
      </w:pPr>
      <w:r>
        <w:t>To support Texas districts in better understanding and a</w:t>
      </w:r>
      <w:r w:rsidRPr="000C2BFA">
        <w:rPr>
          <w:rStyle w:val="BodyTextChar"/>
        </w:rPr>
        <w:t>d</w:t>
      </w:r>
      <w:r>
        <w:t xml:space="preserve">dressing the challenges they face in providing equitable access to excellent teachers for the students who need it most, the Texas Education Agency (TEA) has developed the </w:t>
      </w:r>
      <w:r w:rsidRPr="000C2BFA">
        <w:rPr>
          <w:rStyle w:val="BodyTextMediumItalicChar"/>
        </w:rPr>
        <w:t>Texas Equitable Access Roadmap: A Toolkit to Support Texas Districts to Develop Local Equitable Access Plans</w:t>
      </w:r>
      <w:r>
        <w:t>. The Roadmap will take district teams through a series of processes to understand, interpret, and implement an action plan around equitable access.</w:t>
      </w:r>
      <w:r w:rsidR="00DF4E1B">
        <w:t xml:space="preserve">  </w:t>
      </w:r>
      <w:r w:rsidR="000E76EF">
        <w:t xml:space="preserve">Please note all of the tools include links to additional resources and materials. Please visit the Appendix at the end of this document for a list </w:t>
      </w:r>
      <w:r w:rsidR="000E76EF" w:rsidRPr="000E76EF">
        <w:t>of the linked resources throughout all of the tools, by topic.</w:t>
      </w:r>
      <w:r w:rsidR="000E76EF">
        <w:t xml:space="preserve"> The Appendix provides a “one stop shop” </w:t>
      </w:r>
      <w:proofErr w:type="gramStart"/>
      <w:r w:rsidR="000E76EF">
        <w:t>to easily access</w:t>
      </w:r>
      <w:proofErr w:type="gramEnd"/>
      <w:r w:rsidR="000E76EF">
        <w:t xml:space="preserve"> the resources.</w:t>
      </w:r>
    </w:p>
    <w:p w14:paraId="6F760704" w14:textId="77777777" w:rsidR="000F64BB" w:rsidRDefault="000F64BB" w:rsidP="00850E53">
      <w:pPr>
        <w:pStyle w:val="Heading1"/>
      </w:pPr>
      <w:r>
        <w:t xml:space="preserve">Putting </w:t>
      </w:r>
      <w:r w:rsidR="00A02CB7">
        <w:t>I</w:t>
      </w:r>
      <w:r>
        <w:t>t All Together: The District Roadmap Reporting Template</w:t>
      </w:r>
    </w:p>
    <w:p w14:paraId="517B2B9C" w14:textId="1523CBC7" w:rsidR="000F64BB" w:rsidRPr="00850E53" w:rsidRDefault="000F64BB" w:rsidP="00DF4E1B">
      <w:pPr>
        <w:pStyle w:val="BodyTextposthead"/>
        <w:rPr>
          <w:rStyle w:val="apple-converted-space"/>
          <w:rFonts w:eastAsiaTheme="majorEastAsia"/>
        </w:rPr>
      </w:pPr>
      <w:r>
        <w:t xml:space="preserve">The overview of the five steps </w:t>
      </w:r>
      <w:proofErr w:type="gramStart"/>
      <w:r>
        <w:t>can be found</w:t>
      </w:r>
      <w:proofErr w:type="gramEnd"/>
      <w:r>
        <w:t xml:space="preserve"> </w:t>
      </w:r>
      <w:hyperlink r:id="rId8" w:anchor="tools" w:history="1">
        <w:r w:rsidRPr="00F15578">
          <w:rPr>
            <w:rStyle w:val="Hyperlink"/>
          </w:rPr>
          <w:t>here</w:t>
        </w:r>
      </w:hyperlink>
      <w:r>
        <w:t>, with links to the resources for each step of the process. This document provides an overview of the five steps in the toolkit, along with a centralized reporting template for districts to document the findings of their equity planning.</w:t>
      </w:r>
      <w:r w:rsidR="00850E53">
        <w:rPr>
          <w:rFonts w:asciiTheme="majorHAnsi" w:eastAsiaTheme="majorEastAsia" w:hAnsiTheme="majorHAnsi" w:cstheme="majorBidi"/>
          <w:noProof/>
          <w:color w:val="E65500" w:themeColor="accent2" w:themeShade="BF"/>
          <w:sz w:val="28"/>
          <w:szCs w:val="26"/>
        </w:rPr>
        <w:drawing>
          <wp:inline distT="0" distB="0" distL="0" distR="0" wp14:anchorId="7D9BED09" wp14:editId="319736D7">
            <wp:extent cx="5517354" cy="2437492"/>
            <wp:effectExtent l="0" t="0" r="7620" b="127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Roadmap.PNG"/>
                    <pic:cNvPicPr/>
                  </pic:nvPicPr>
                  <pic:blipFill>
                    <a:blip r:embed="rId9">
                      <a:extLst>
                        <a:ext uri="{28A0092B-C50C-407E-A947-70E740481C1C}">
                          <a14:useLocalDpi xmlns:a14="http://schemas.microsoft.com/office/drawing/2010/main" val="0"/>
                        </a:ext>
                      </a:extLst>
                    </a:blip>
                    <a:stretch>
                      <a:fillRect/>
                    </a:stretch>
                  </pic:blipFill>
                  <pic:spPr>
                    <a:xfrm>
                      <a:off x="0" y="0"/>
                      <a:ext cx="5517354" cy="2437492"/>
                    </a:xfrm>
                    <a:prstGeom prst="rect">
                      <a:avLst/>
                    </a:prstGeom>
                  </pic:spPr>
                </pic:pic>
              </a:graphicData>
            </a:graphic>
          </wp:inline>
        </w:drawing>
      </w:r>
      <w:r>
        <w:rPr>
          <w:rStyle w:val="Heading2Char"/>
        </w:rPr>
        <w:br w:type="page"/>
      </w:r>
    </w:p>
    <w:p w14:paraId="7D44D1A4" w14:textId="77777777" w:rsidR="000F64BB" w:rsidRDefault="000F64BB" w:rsidP="00850E53">
      <w:r>
        <w:rPr>
          <w:rStyle w:val="Heading2Char"/>
        </w:rPr>
        <w:lastRenderedPageBreak/>
        <w:t>Purpose</w:t>
      </w:r>
    </w:p>
    <w:p w14:paraId="542B75D7" w14:textId="1E806015" w:rsidR="000F64BB" w:rsidRPr="004F6777" w:rsidRDefault="000F64BB" w:rsidP="00850E53">
      <w:pPr>
        <w:pStyle w:val="BodyTextposthead"/>
      </w:pPr>
      <w:r w:rsidRPr="004F6777">
        <w:t xml:space="preserve">As </w:t>
      </w:r>
      <w:r w:rsidR="000C6258">
        <w:t>you</w:t>
      </w:r>
      <w:r w:rsidRPr="004F6777">
        <w:t xml:space="preserve"> complete each </w:t>
      </w:r>
      <w:r>
        <w:t>step in the Roadmap</w:t>
      </w:r>
      <w:r w:rsidRPr="004F6777">
        <w:t xml:space="preserve"> (i.e.,</w:t>
      </w:r>
      <w:r w:rsidR="00A02CB7">
        <w:t xml:space="preserve"> Engag</w:t>
      </w:r>
      <w:r w:rsidR="00F97070">
        <w:t>ing</w:t>
      </w:r>
      <w:r w:rsidR="00A02CB7">
        <w:t xml:space="preserve"> </w:t>
      </w:r>
      <w:r w:rsidR="00A77807">
        <w:t xml:space="preserve">and </w:t>
      </w:r>
      <w:r w:rsidR="00A02CB7">
        <w:t>Communicat</w:t>
      </w:r>
      <w:r w:rsidR="00F97070">
        <w:t xml:space="preserve">ing </w:t>
      </w:r>
      <w:r w:rsidR="00A77807">
        <w:t>w</w:t>
      </w:r>
      <w:r w:rsidR="00F97070">
        <w:t>ith Stakeholders</w:t>
      </w:r>
      <w:r w:rsidR="00A02CB7">
        <w:t xml:space="preserve">, </w:t>
      </w:r>
      <w:r w:rsidR="00A02CB7" w:rsidRPr="004F6777">
        <w:t>Review</w:t>
      </w:r>
      <w:r w:rsidR="00F97070">
        <w:t>ing</w:t>
      </w:r>
      <w:r w:rsidR="00A02CB7">
        <w:t xml:space="preserve"> </w:t>
      </w:r>
      <w:r w:rsidR="00A77807">
        <w:t xml:space="preserve">and </w:t>
      </w:r>
      <w:r w:rsidR="00A02CB7">
        <w:t>Analy</w:t>
      </w:r>
      <w:r w:rsidR="00F97070">
        <w:t>zing Data</w:t>
      </w:r>
      <w:r w:rsidRPr="004F6777">
        <w:t xml:space="preserve">, </w:t>
      </w:r>
      <w:r w:rsidR="00F97070">
        <w:t>Conducting a Root Cause Analysis</w:t>
      </w:r>
      <w:r w:rsidRPr="004F6777">
        <w:t xml:space="preserve">, </w:t>
      </w:r>
      <w:r w:rsidR="00A02CB7" w:rsidRPr="004F6777">
        <w:t>Selecting Strategies</w:t>
      </w:r>
      <w:r w:rsidRPr="004F6777">
        <w:t xml:space="preserve">, and </w:t>
      </w:r>
      <w:r w:rsidR="00A02CB7" w:rsidRPr="004F6777">
        <w:t xml:space="preserve">Planning </w:t>
      </w:r>
      <w:r w:rsidR="00A02CB7">
        <w:t>f</w:t>
      </w:r>
      <w:r w:rsidR="00A02CB7" w:rsidRPr="004F6777">
        <w:t>or Implementation</w:t>
      </w:r>
      <w:r w:rsidRPr="004F6777">
        <w:t xml:space="preserve">), </w:t>
      </w:r>
      <w:r w:rsidR="000C6258">
        <w:t>you</w:t>
      </w:r>
      <w:r w:rsidRPr="004F6777">
        <w:t xml:space="preserve"> will be asked by TEA </w:t>
      </w:r>
      <w:r w:rsidR="00A02CB7">
        <w:t>to summarize</w:t>
      </w:r>
      <w:r>
        <w:t xml:space="preserve"> </w:t>
      </w:r>
      <w:r w:rsidRPr="004F6777">
        <w:t xml:space="preserve">the key takeaways developed while engaging in the processes involved with each tool. </w:t>
      </w:r>
      <w:r w:rsidR="0075257E">
        <w:t>This resource</w:t>
      </w:r>
      <w:r w:rsidR="00A02CB7" w:rsidRPr="004F6777">
        <w:t xml:space="preserve"> </w:t>
      </w:r>
      <w:r w:rsidRPr="004F6777">
        <w:t xml:space="preserve">provides a space where </w:t>
      </w:r>
      <w:r w:rsidR="000C6258">
        <w:t xml:space="preserve">you and other </w:t>
      </w:r>
      <w:r w:rsidRPr="004F6777">
        <w:t>district staff can transfer</w:t>
      </w:r>
      <w:r w:rsidR="002C3BA3">
        <w:t xml:space="preserve"> </w:t>
      </w:r>
      <w:r w:rsidR="0056797B">
        <w:t>content</w:t>
      </w:r>
      <w:r w:rsidRPr="004F6777">
        <w:t xml:space="preserve"> (</w:t>
      </w:r>
      <w:r w:rsidR="00A02CB7">
        <w:t>through the</w:t>
      </w:r>
      <w:r w:rsidR="00A02CB7" w:rsidRPr="004F6777">
        <w:t xml:space="preserve"> “copy/paste</w:t>
      </w:r>
      <w:r w:rsidRPr="004F6777">
        <w:t>” process</w:t>
      </w:r>
      <w:r>
        <w:t xml:space="preserve"> in Microsoft Word</w:t>
      </w:r>
      <w:r w:rsidRPr="004F6777">
        <w:t xml:space="preserve">) from each tool into </w:t>
      </w:r>
      <w:r w:rsidR="0075257E">
        <w:t>a centralized</w:t>
      </w:r>
      <w:r w:rsidRPr="004F6777">
        <w:t xml:space="preserve"> </w:t>
      </w:r>
      <w:r>
        <w:t>Roadmap</w:t>
      </w:r>
      <w:r w:rsidRPr="004F6777">
        <w:t xml:space="preserve"> Reporting Template located at the end of this </w:t>
      </w:r>
      <w:r w:rsidR="0075257E">
        <w:t>document</w:t>
      </w:r>
      <w:r w:rsidRPr="004F6777">
        <w:t xml:space="preserve">. The reporting template will provide a simple way for </w:t>
      </w:r>
      <w:r w:rsidR="000C6258">
        <w:t>you</w:t>
      </w:r>
      <w:r w:rsidR="000C6258" w:rsidRPr="004F6777">
        <w:t xml:space="preserve"> </w:t>
      </w:r>
      <w:r w:rsidRPr="004F6777">
        <w:t xml:space="preserve">to summarize </w:t>
      </w:r>
      <w:r w:rsidR="000C6258">
        <w:t>your district’s</w:t>
      </w:r>
      <w:r w:rsidRPr="004F6777">
        <w:t xml:space="preserve"> equity plans and submit them to </w:t>
      </w:r>
      <w:r w:rsidR="00743A39">
        <w:t>your</w:t>
      </w:r>
      <w:r>
        <w:t xml:space="preserve"> local education service center (ESC)</w:t>
      </w:r>
      <w:r w:rsidRPr="004F6777">
        <w:t xml:space="preserve">.  </w:t>
      </w:r>
    </w:p>
    <w:p w14:paraId="22549D49" w14:textId="39BB8C27" w:rsidR="000F64BB" w:rsidRDefault="00A02CB7" w:rsidP="00850E53">
      <w:pPr>
        <w:pStyle w:val="BodyText"/>
      </w:pPr>
      <w:r>
        <w:t xml:space="preserve">Following </w:t>
      </w:r>
      <w:r w:rsidR="000F64BB">
        <w:t xml:space="preserve">is a brief description of the tools to help remind </w:t>
      </w:r>
      <w:r w:rsidR="000C6258">
        <w:t xml:space="preserve">you </w:t>
      </w:r>
      <w:r w:rsidR="000F64BB">
        <w:t xml:space="preserve">of the steps and processes </w:t>
      </w:r>
      <w:r w:rsidR="000C6258">
        <w:t xml:space="preserve">you </w:t>
      </w:r>
      <w:r w:rsidR="000F64BB">
        <w:t xml:space="preserve">undertook when developing </w:t>
      </w:r>
      <w:r w:rsidR="000C6258">
        <w:t>your district’s</w:t>
      </w:r>
      <w:r w:rsidR="000F64BB">
        <w:t xml:space="preserve"> equity plan. At the end of this document</w:t>
      </w:r>
      <w:r>
        <w:t>,</w:t>
      </w:r>
      <w:r w:rsidR="000F64BB">
        <w:t xml:space="preserve"> you will find the District Reporting Template along with instructions on how to complete the template.</w:t>
      </w:r>
    </w:p>
    <w:p w14:paraId="2322CDBE" w14:textId="0C022CB4" w:rsidR="000F64BB" w:rsidRDefault="000F64BB" w:rsidP="00850E53">
      <w:pPr>
        <w:pStyle w:val="Heading1"/>
      </w:pPr>
      <w:r>
        <w:rPr>
          <w:noProof/>
        </w:rPr>
        <w:drawing>
          <wp:anchor distT="0" distB="0" distL="114300" distR="114300" simplePos="0" relativeHeight="251668480" behindDoc="1" locked="0" layoutInCell="1" allowOverlap="1" wp14:anchorId="217597C2" wp14:editId="70B7A588">
            <wp:simplePos x="0" y="0"/>
            <wp:positionH relativeFrom="column">
              <wp:posOffset>15875</wp:posOffset>
            </wp:positionH>
            <wp:positionV relativeFrom="paragraph">
              <wp:posOffset>208915</wp:posOffset>
            </wp:positionV>
            <wp:extent cx="1692910" cy="908685"/>
            <wp:effectExtent l="0" t="0" r="2540" b="5715"/>
            <wp:wrapTight wrapText="bothSides">
              <wp:wrapPolygon edited="0">
                <wp:start x="0" y="0"/>
                <wp:lineTo x="0" y="21283"/>
                <wp:lineTo x="21389" y="21283"/>
                <wp:lineTo x="21389"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692910" cy="908685"/>
                    </a:xfrm>
                    <a:prstGeom prst="rect">
                      <a:avLst/>
                    </a:prstGeom>
                    <a:noFill/>
                  </pic:spPr>
                </pic:pic>
              </a:graphicData>
            </a:graphic>
            <wp14:sizeRelH relativeFrom="page">
              <wp14:pctWidth>0</wp14:pctWidth>
            </wp14:sizeRelH>
            <wp14:sizeRelV relativeFrom="page">
              <wp14:pctHeight>0</wp14:pctHeight>
            </wp14:sizeRelV>
          </wp:anchor>
        </w:drawing>
      </w:r>
      <w:r>
        <w:t>Step 1.</w:t>
      </w:r>
      <w:r w:rsidRPr="005C6A80">
        <w:rPr>
          <w:noProof/>
          <w:sz w:val="16"/>
          <w:szCs w:val="16"/>
        </w:rPr>
        <w:t xml:space="preserve"> </w:t>
      </w:r>
      <w:r w:rsidR="00151464">
        <w:t xml:space="preserve">Engaging </w:t>
      </w:r>
      <w:r w:rsidR="00A96463">
        <w:t>a</w:t>
      </w:r>
      <w:r w:rsidR="00151464">
        <w:t xml:space="preserve"> Communicating </w:t>
      </w:r>
      <w:r w:rsidR="00A96463">
        <w:t>w</w:t>
      </w:r>
      <w:r w:rsidR="00151464">
        <w:t xml:space="preserve">ith </w:t>
      </w:r>
      <w:r>
        <w:t>Stakeholder</w:t>
      </w:r>
      <w:r w:rsidR="00151464">
        <w:t>s</w:t>
      </w:r>
      <w:r>
        <w:t xml:space="preserve"> </w:t>
      </w:r>
    </w:p>
    <w:p w14:paraId="093BABCC" w14:textId="6EEE69AA" w:rsidR="000F64BB" w:rsidRPr="00517000" w:rsidRDefault="00794537" w:rsidP="00794537">
      <w:pPr>
        <w:pStyle w:val="BodyTextposthead"/>
      </w:pPr>
      <w:r w:rsidRPr="00794537">
        <w:rPr>
          <w:rFonts w:eastAsiaTheme="minorHAnsi"/>
        </w:rPr>
        <w:t xml:space="preserve">Engaging and communicating with </w:t>
      </w:r>
      <w:proofErr w:type="gramStart"/>
      <w:r w:rsidRPr="00794537">
        <w:rPr>
          <w:rFonts w:eastAsiaTheme="minorHAnsi"/>
        </w:rPr>
        <w:t>stakeholders</w:t>
      </w:r>
      <w:proofErr w:type="gramEnd"/>
      <w:r>
        <w:t xml:space="preserve"> </w:t>
      </w:r>
      <w:r w:rsidR="000F64BB">
        <w:t>helps establish</w:t>
      </w:r>
      <w:r w:rsidR="000F64BB" w:rsidRPr="00517000">
        <w:t xml:space="preserve"> buy-in and participation from your education community in your equity planning development. By involving stakeholders, you have determined critical strategy decisions in a collaborative way and have defined with stakeholders what equitable access should look like in your district.</w:t>
      </w:r>
    </w:p>
    <w:p w14:paraId="513A664F" w14:textId="1CA7D8B7" w:rsidR="000F64BB" w:rsidRPr="00517000" w:rsidRDefault="000F64BB" w:rsidP="00850E53">
      <w:pPr>
        <w:pStyle w:val="BodyText"/>
      </w:pPr>
      <w:r w:rsidRPr="00517000">
        <w:t xml:space="preserve">After completing the </w:t>
      </w:r>
      <w:r w:rsidR="005B6889" w:rsidRPr="00517000">
        <w:t>Engag</w:t>
      </w:r>
      <w:r w:rsidR="005B6889">
        <w:t xml:space="preserve">ing </w:t>
      </w:r>
      <w:r w:rsidR="00A77807">
        <w:t>and</w:t>
      </w:r>
      <w:r w:rsidR="005B6889">
        <w:t xml:space="preserve"> Communicating </w:t>
      </w:r>
      <w:r w:rsidR="00A77807">
        <w:t>w</w:t>
      </w:r>
      <w:r w:rsidR="005B6889">
        <w:t xml:space="preserve">ith </w:t>
      </w:r>
      <w:r w:rsidRPr="00517000">
        <w:t xml:space="preserve">Stakeholder </w:t>
      </w:r>
      <w:r>
        <w:t>work in Step 1</w:t>
      </w:r>
      <w:r w:rsidRPr="00517000">
        <w:t>, your district will</w:t>
      </w:r>
      <w:r w:rsidR="00F9321C">
        <w:t> </w:t>
      </w:r>
      <w:r w:rsidRPr="00517000">
        <w:t>have:</w:t>
      </w:r>
    </w:p>
    <w:p w14:paraId="4873BD30" w14:textId="77777777" w:rsidR="000F64BB" w:rsidRPr="00A96C11" w:rsidRDefault="000F64BB" w:rsidP="00850E53">
      <w:pPr>
        <w:pStyle w:val="Bullet1"/>
      </w:pPr>
      <w:r w:rsidRPr="00A96C11">
        <w:rPr>
          <w:rStyle w:val="BodyTextMedium"/>
          <w:rFonts w:asciiTheme="minorHAnsi" w:hAnsiTheme="minorHAnsi"/>
        </w:rPr>
        <w:t>Built a district team</w:t>
      </w:r>
      <w:r w:rsidRPr="00A96C11">
        <w:t xml:space="preserve"> to lead and be responsible for stakeholder engagement and communications</w:t>
      </w:r>
      <w:r w:rsidR="002A5D69" w:rsidRPr="00A96C11">
        <w:t>,</w:t>
      </w:r>
    </w:p>
    <w:p w14:paraId="1B2DC823" w14:textId="77777777" w:rsidR="000F64BB" w:rsidRPr="00A96C11" w:rsidRDefault="000F64BB" w:rsidP="00850E53">
      <w:pPr>
        <w:pStyle w:val="Bullet1"/>
        <w:rPr>
          <w:rStyle w:val="BodyTextMedium"/>
          <w:rFonts w:asciiTheme="minorHAnsi" w:hAnsiTheme="minorHAnsi"/>
        </w:rPr>
      </w:pPr>
      <w:r w:rsidRPr="00A96C11">
        <w:rPr>
          <w:rStyle w:val="BodyTextMedium"/>
          <w:rFonts w:asciiTheme="minorHAnsi" w:hAnsiTheme="minorHAnsi"/>
        </w:rPr>
        <w:t>Identified stakeholders</w:t>
      </w:r>
      <w:r w:rsidR="002A5D69" w:rsidRPr="00A96C11">
        <w:rPr>
          <w:rStyle w:val="BodyTextMedium"/>
          <w:rFonts w:asciiTheme="minorHAnsi" w:hAnsiTheme="minorHAnsi"/>
        </w:rPr>
        <w:t>,</w:t>
      </w:r>
      <w:r w:rsidRPr="00A96C11">
        <w:rPr>
          <w:rStyle w:val="BodyTextMedium"/>
          <w:rFonts w:asciiTheme="minorHAnsi" w:hAnsiTheme="minorHAnsi"/>
        </w:rPr>
        <w:t xml:space="preserve"> </w:t>
      </w:r>
    </w:p>
    <w:p w14:paraId="46639732" w14:textId="77777777" w:rsidR="000F64BB" w:rsidRPr="00A96C11" w:rsidRDefault="000F64BB" w:rsidP="00850E53">
      <w:pPr>
        <w:pStyle w:val="Bullet1"/>
      </w:pPr>
      <w:r w:rsidRPr="00A96C11">
        <w:t xml:space="preserve">Developed a </w:t>
      </w:r>
      <w:r w:rsidRPr="00A96C11">
        <w:rPr>
          <w:rStyle w:val="BodyTextMedium"/>
          <w:rFonts w:asciiTheme="minorHAnsi" w:hAnsiTheme="minorHAnsi"/>
        </w:rPr>
        <w:t>plan to engage stakeholders</w:t>
      </w:r>
      <w:r w:rsidR="002A5D69" w:rsidRPr="00A96C11">
        <w:rPr>
          <w:rStyle w:val="BodyTextMedium"/>
          <w:rFonts w:asciiTheme="minorHAnsi" w:hAnsiTheme="minorHAnsi"/>
        </w:rPr>
        <w:t>, and</w:t>
      </w:r>
    </w:p>
    <w:p w14:paraId="75AC20A5" w14:textId="77777777" w:rsidR="000F64BB" w:rsidRDefault="000F64BB" w:rsidP="00850E53">
      <w:pPr>
        <w:pStyle w:val="Bullet1"/>
      </w:pPr>
      <w:r w:rsidRPr="00A96C11">
        <w:rPr>
          <w:rStyle w:val="BodyTextMedium"/>
          <w:rFonts w:asciiTheme="minorHAnsi" w:hAnsiTheme="minorHAnsi"/>
        </w:rPr>
        <w:t>Documented results</w:t>
      </w:r>
      <w:r w:rsidRPr="00A96C11">
        <w:t xml:space="preserve"> from your stakeholder engagement efforts</w:t>
      </w:r>
      <w:r w:rsidR="002A5D69" w:rsidRPr="00A96C11">
        <w:t>, which</w:t>
      </w:r>
      <w:r w:rsidRPr="00A96C11">
        <w:t xml:space="preserve"> may include results from the </w:t>
      </w:r>
      <w:r w:rsidR="002A5D69" w:rsidRPr="00A96C11">
        <w:t xml:space="preserve">root cause analysis </w:t>
      </w:r>
      <w:r w:rsidRPr="00A96C11">
        <w:t>or a vision or goals for equitable access in your district</w:t>
      </w:r>
      <w:r>
        <w:t>.</w:t>
      </w:r>
    </w:p>
    <w:p w14:paraId="676D3EB8" w14:textId="4167B7CC" w:rsidR="000F64BB" w:rsidRPr="00517000" w:rsidRDefault="000F64BB" w:rsidP="00850E53">
      <w:pPr>
        <w:pStyle w:val="BodyText"/>
      </w:pPr>
      <w:r>
        <w:t xml:space="preserve">Note that TEA does </w:t>
      </w:r>
      <w:r w:rsidRPr="00227BAF">
        <w:rPr>
          <w:u w:val="single"/>
        </w:rPr>
        <w:t>not</w:t>
      </w:r>
      <w:r>
        <w:t xml:space="preserve"> require districts to report this information in the Roadmap Reporting Template.</w:t>
      </w:r>
    </w:p>
    <w:p w14:paraId="650BFE85" w14:textId="16DFF1AD" w:rsidR="000F64BB" w:rsidRDefault="00850E53" w:rsidP="00850E53">
      <w:pPr>
        <w:pStyle w:val="Heading1"/>
      </w:pPr>
      <w:r>
        <w:rPr>
          <w:noProof/>
        </w:rPr>
        <w:drawing>
          <wp:anchor distT="0" distB="0" distL="114300" distR="114300" simplePos="0" relativeHeight="251689984" behindDoc="1" locked="0" layoutInCell="1" allowOverlap="1" wp14:anchorId="6CBAD32E" wp14:editId="07DC3042">
            <wp:simplePos x="0" y="0"/>
            <wp:positionH relativeFrom="column">
              <wp:posOffset>15875</wp:posOffset>
            </wp:positionH>
            <wp:positionV relativeFrom="paragraph">
              <wp:posOffset>191770</wp:posOffset>
            </wp:positionV>
            <wp:extent cx="1692910" cy="908050"/>
            <wp:effectExtent l="0" t="0" r="2540" b="6350"/>
            <wp:wrapTight wrapText="bothSides">
              <wp:wrapPolygon edited="0">
                <wp:start x="0" y="0"/>
                <wp:lineTo x="0" y="21298"/>
                <wp:lineTo x="21389" y="21298"/>
                <wp:lineTo x="21389" y="0"/>
                <wp:lineTo x="0" y="0"/>
              </wp:wrapPolygon>
            </wp:wrapTight>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92910" cy="908050"/>
                    </a:xfrm>
                    <a:prstGeom prst="rect">
                      <a:avLst/>
                    </a:prstGeom>
                    <a:noFill/>
                  </pic:spPr>
                </pic:pic>
              </a:graphicData>
            </a:graphic>
            <wp14:sizeRelH relativeFrom="page">
              <wp14:pctWidth>0</wp14:pctWidth>
            </wp14:sizeRelH>
            <wp14:sizeRelV relativeFrom="page">
              <wp14:pctHeight>0</wp14:pctHeight>
            </wp14:sizeRelV>
          </wp:anchor>
        </w:drawing>
      </w:r>
      <w:r w:rsidR="000F64BB">
        <w:t>Step 2. Review</w:t>
      </w:r>
      <w:r w:rsidR="009710E6">
        <w:t>ing</w:t>
      </w:r>
      <w:r w:rsidR="000F64BB">
        <w:t xml:space="preserve"> </w:t>
      </w:r>
      <w:r w:rsidR="00A96463">
        <w:t xml:space="preserve">and </w:t>
      </w:r>
      <w:r w:rsidR="000F64BB">
        <w:t>Analy</w:t>
      </w:r>
      <w:r w:rsidR="009710E6">
        <w:t>zing Data</w:t>
      </w:r>
      <w:r w:rsidR="009710E6" w:rsidDel="009710E6">
        <w:t xml:space="preserve"> </w:t>
      </w:r>
    </w:p>
    <w:p w14:paraId="183020D1" w14:textId="1E587BC7" w:rsidR="000F64BB" w:rsidRPr="005451B9" w:rsidRDefault="000F64BB" w:rsidP="00BF43D5">
      <w:pPr>
        <w:pStyle w:val="BodyTextposthead"/>
        <w:ind w:left="2853" w:hanging="2853"/>
      </w:pPr>
      <w:r>
        <w:t xml:space="preserve">The purpose of this </w:t>
      </w:r>
      <w:r w:rsidR="002A5D69">
        <w:t>s</w:t>
      </w:r>
      <w:r>
        <w:t>tep</w:t>
      </w:r>
      <w:r w:rsidRPr="005451B9">
        <w:t xml:space="preserve"> is to help </w:t>
      </w:r>
      <w:r w:rsidR="000C6258">
        <w:t>you</w:t>
      </w:r>
      <w:r w:rsidRPr="005451B9">
        <w:t xml:space="preserve"> calculate </w:t>
      </w:r>
      <w:r w:rsidR="000C6258">
        <w:t>your</w:t>
      </w:r>
      <w:r w:rsidRPr="005451B9">
        <w:t xml:space="preserve"> district</w:t>
      </w:r>
      <w:r w:rsidR="000C6258">
        <w:t>’s</w:t>
      </w:r>
      <w:r w:rsidRPr="005451B9">
        <w:t xml:space="preserve"> equity gaps by assessing, analyzing, and communicating </w:t>
      </w:r>
      <w:r w:rsidR="000C6258">
        <w:t>your district’s</w:t>
      </w:r>
      <w:r w:rsidR="000C6258" w:rsidRPr="004F6777">
        <w:t xml:space="preserve"> </w:t>
      </w:r>
      <w:r w:rsidRPr="005451B9">
        <w:t xml:space="preserve">equitable access data. After conducting a review and analysis of your district data, </w:t>
      </w:r>
      <w:r w:rsidR="000C6258">
        <w:t xml:space="preserve">you and your district </w:t>
      </w:r>
      <w:r w:rsidRPr="005451B9">
        <w:t>stakeholders will have completed the following activities</w:t>
      </w:r>
      <w:r w:rsidR="002A5D69">
        <w:t>:</w:t>
      </w:r>
    </w:p>
    <w:p w14:paraId="0967A601" w14:textId="77777777" w:rsidR="000F64BB" w:rsidRDefault="000F64BB" w:rsidP="00850E53">
      <w:pPr>
        <w:pStyle w:val="Bullet1"/>
      </w:pPr>
      <w:r>
        <w:t>Established definitions of effective teaching</w:t>
      </w:r>
      <w:r w:rsidR="002A5D69">
        <w:t>;</w:t>
      </w:r>
    </w:p>
    <w:p w14:paraId="6858310E" w14:textId="77777777" w:rsidR="000F64BB" w:rsidRDefault="000F64BB" w:rsidP="00850E53">
      <w:pPr>
        <w:pStyle w:val="Bullet1"/>
      </w:pPr>
      <w:r w:rsidRPr="0056797B">
        <w:rPr>
          <w:spacing w:val="-2"/>
        </w:rPr>
        <w:t>Collected required data to calculate equity gaps for access by students of color and low</w:t>
      </w:r>
      <w:r w:rsidR="002A5D69" w:rsidRPr="0056797B">
        <w:rPr>
          <w:spacing w:val="-2"/>
        </w:rPr>
        <w:t>-</w:t>
      </w:r>
      <w:r w:rsidRPr="0056797B">
        <w:rPr>
          <w:spacing w:val="-2"/>
        </w:rPr>
        <w:t>income</w:t>
      </w:r>
      <w:r>
        <w:t xml:space="preserve"> students to effective teaching, inexperienced teachers, and out-of-field teachers</w:t>
      </w:r>
      <w:r w:rsidR="002A5D69">
        <w:t>; and</w:t>
      </w:r>
    </w:p>
    <w:p w14:paraId="1A5EC4DF" w14:textId="77777777" w:rsidR="000F64BB" w:rsidRDefault="000F64BB" w:rsidP="00850E53">
      <w:pPr>
        <w:pStyle w:val="Bullet1"/>
      </w:pPr>
      <w:r>
        <w:t>Calculated required and optional equity gaps</w:t>
      </w:r>
      <w:r w:rsidR="002A5D69">
        <w:t>.</w:t>
      </w:r>
      <w:r>
        <w:t xml:space="preserve"> </w:t>
      </w:r>
    </w:p>
    <w:p w14:paraId="40B3703C" w14:textId="34B7978B" w:rsidR="00850E53" w:rsidRDefault="00850E53" w:rsidP="00850E53">
      <w:pPr>
        <w:pStyle w:val="Heading1"/>
      </w:pPr>
      <w:r>
        <w:rPr>
          <w:noProof/>
        </w:rPr>
        <w:lastRenderedPageBreak/>
        <w:drawing>
          <wp:anchor distT="0" distB="0" distL="114300" distR="114300" simplePos="0" relativeHeight="251698176" behindDoc="1" locked="0" layoutInCell="1" allowOverlap="1" wp14:anchorId="1B62A83E" wp14:editId="30B1371E">
            <wp:simplePos x="0" y="0"/>
            <wp:positionH relativeFrom="column">
              <wp:posOffset>17780</wp:posOffset>
            </wp:positionH>
            <wp:positionV relativeFrom="paragraph">
              <wp:posOffset>56515</wp:posOffset>
            </wp:positionV>
            <wp:extent cx="1688465" cy="909320"/>
            <wp:effectExtent l="0" t="0" r="6985" b="5080"/>
            <wp:wrapTight wrapText="bothSides">
              <wp:wrapPolygon edited="0">
                <wp:start x="0" y="0"/>
                <wp:lineTo x="0" y="21268"/>
                <wp:lineTo x="21446" y="21268"/>
                <wp:lineTo x="21446" y="0"/>
                <wp:lineTo x="0" y="0"/>
              </wp:wrapPolygon>
            </wp:wrapTight>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88465" cy="909320"/>
                    </a:xfrm>
                    <a:prstGeom prst="rect">
                      <a:avLst/>
                    </a:prstGeom>
                    <a:noFill/>
                  </pic:spPr>
                </pic:pic>
              </a:graphicData>
            </a:graphic>
            <wp14:sizeRelH relativeFrom="page">
              <wp14:pctWidth>0</wp14:pctWidth>
            </wp14:sizeRelH>
            <wp14:sizeRelV relativeFrom="page">
              <wp14:pctHeight>0</wp14:pctHeight>
            </wp14:sizeRelV>
          </wp:anchor>
        </w:drawing>
      </w:r>
      <w:r w:rsidRPr="00850E53">
        <w:t>Step 3</w:t>
      </w:r>
      <w:r w:rsidR="002A5D69">
        <w:t>.</w:t>
      </w:r>
      <w:r w:rsidRPr="00850E53">
        <w:t xml:space="preserve"> </w:t>
      </w:r>
      <w:r w:rsidR="001B249C">
        <w:t>Conducting a Root Cause Analysis</w:t>
      </w:r>
    </w:p>
    <w:p w14:paraId="3EE583BD" w14:textId="4D5518D9" w:rsidR="000F64BB" w:rsidRPr="00F9321C" w:rsidRDefault="000F64BB" w:rsidP="00850E53">
      <w:pPr>
        <w:pStyle w:val="BodyText"/>
        <w:rPr>
          <w:rFonts w:cstheme="majorBidi"/>
          <w:spacing w:val="-2"/>
          <w:sz w:val="28"/>
        </w:rPr>
      </w:pPr>
      <w:r w:rsidRPr="00F9321C">
        <w:rPr>
          <w:spacing w:val="-2"/>
        </w:rPr>
        <w:t xml:space="preserve">The purpose of </w:t>
      </w:r>
      <w:r w:rsidR="00794537" w:rsidRPr="00F9321C">
        <w:rPr>
          <w:spacing w:val="-2"/>
        </w:rPr>
        <w:t>c</w:t>
      </w:r>
      <w:r w:rsidR="004672AA" w:rsidRPr="00F9321C">
        <w:rPr>
          <w:spacing w:val="-2"/>
        </w:rPr>
        <w:t xml:space="preserve">onducting a </w:t>
      </w:r>
      <w:r w:rsidR="00794537" w:rsidRPr="00F9321C">
        <w:rPr>
          <w:spacing w:val="-2"/>
        </w:rPr>
        <w:t>r</w:t>
      </w:r>
      <w:r w:rsidR="004672AA" w:rsidRPr="00F9321C">
        <w:rPr>
          <w:spacing w:val="-2"/>
        </w:rPr>
        <w:t xml:space="preserve">oot </w:t>
      </w:r>
      <w:r w:rsidR="00794537" w:rsidRPr="00F9321C">
        <w:rPr>
          <w:spacing w:val="-2"/>
        </w:rPr>
        <w:t>c</w:t>
      </w:r>
      <w:r w:rsidR="004672AA" w:rsidRPr="00F9321C">
        <w:rPr>
          <w:spacing w:val="-2"/>
        </w:rPr>
        <w:t xml:space="preserve">ause </w:t>
      </w:r>
      <w:r w:rsidR="00794537" w:rsidRPr="00F9321C">
        <w:rPr>
          <w:spacing w:val="-2"/>
        </w:rPr>
        <w:t>a</w:t>
      </w:r>
      <w:r w:rsidR="004672AA" w:rsidRPr="00F9321C">
        <w:rPr>
          <w:spacing w:val="-2"/>
        </w:rPr>
        <w:t>nalysis (RCA)</w:t>
      </w:r>
      <w:r w:rsidRPr="00F9321C">
        <w:rPr>
          <w:spacing w:val="-2"/>
        </w:rPr>
        <w:t xml:space="preserve"> is to review data to identify possible root </w:t>
      </w:r>
      <w:r w:rsidR="004672AA" w:rsidRPr="00F9321C">
        <w:rPr>
          <w:spacing w:val="-2"/>
        </w:rPr>
        <w:t>causes</w:t>
      </w:r>
      <w:r w:rsidRPr="00F9321C">
        <w:rPr>
          <w:spacing w:val="-2"/>
        </w:rPr>
        <w:t xml:space="preserve"> that have the greatest effect on inequitable access for low</w:t>
      </w:r>
      <w:r w:rsidR="002A5D69" w:rsidRPr="00F9321C">
        <w:rPr>
          <w:spacing w:val="-2"/>
        </w:rPr>
        <w:t>-</w:t>
      </w:r>
      <w:r w:rsidRPr="00F9321C">
        <w:rPr>
          <w:spacing w:val="-2"/>
        </w:rPr>
        <w:t xml:space="preserve">income students and students of color to effective teaching, and inexperienced and out-of-field teachers. By the end of the process, </w:t>
      </w:r>
      <w:r w:rsidR="0006108A" w:rsidRPr="00F9321C">
        <w:rPr>
          <w:spacing w:val="-2"/>
        </w:rPr>
        <w:t xml:space="preserve">you </w:t>
      </w:r>
      <w:r w:rsidRPr="00F9321C">
        <w:rPr>
          <w:spacing w:val="-2"/>
        </w:rPr>
        <w:t xml:space="preserve">will have identified key root </w:t>
      </w:r>
      <w:r w:rsidR="004672AA" w:rsidRPr="00F9321C">
        <w:rPr>
          <w:spacing w:val="-2"/>
        </w:rPr>
        <w:t>causes</w:t>
      </w:r>
      <w:r w:rsidRPr="00F9321C">
        <w:rPr>
          <w:spacing w:val="-2"/>
        </w:rPr>
        <w:t xml:space="preserve"> for the identified equity gaps in </w:t>
      </w:r>
      <w:r w:rsidR="0006108A" w:rsidRPr="00F9321C">
        <w:rPr>
          <w:spacing w:val="-2"/>
        </w:rPr>
        <w:t xml:space="preserve">your </w:t>
      </w:r>
      <w:r w:rsidRPr="00F9321C">
        <w:rPr>
          <w:spacing w:val="-2"/>
        </w:rPr>
        <w:t xml:space="preserve">district. </w:t>
      </w:r>
    </w:p>
    <w:p w14:paraId="05FBD09E" w14:textId="77777777" w:rsidR="000F64BB" w:rsidRDefault="00850E53" w:rsidP="00850E53">
      <w:pPr>
        <w:pStyle w:val="Heading1"/>
      </w:pPr>
      <w:r>
        <w:rPr>
          <w:noProof/>
        </w:rPr>
        <w:drawing>
          <wp:anchor distT="0" distB="0" distL="114300" distR="114300" simplePos="0" relativeHeight="251692032" behindDoc="1" locked="0" layoutInCell="1" allowOverlap="1" wp14:anchorId="65B48EBA" wp14:editId="2FED0500">
            <wp:simplePos x="0" y="0"/>
            <wp:positionH relativeFrom="column">
              <wp:posOffset>15875</wp:posOffset>
            </wp:positionH>
            <wp:positionV relativeFrom="paragraph">
              <wp:posOffset>170180</wp:posOffset>
            </wp:positionV>
            <wp:extent cx="1691640" cy="913130"/>
            <wp:effectExtent l="0" t="0" r="3810" b="1270"/>
            <wp:wrapTight wrapText="bothSides">
              <wp:wrapPolygon edited="0">
                <wp:start x="0" y="0"/>
                <wp:lineTo x="0" y="21179"/>
                <wp:lineTo x="21405" y="21179"/>
                <wp:lineTo x="21405" y="0"/>
                <wp:lineTo x="0" y="0"/>
              </wp:wrapPolygon>
            </wp:wrapTight>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691640" cy="913130"/>
                    </a:xfrm>
                    <a:prstGeom prst="rect">
                      <a:avLst/>
                    </a:prstGeom>
                    <a:noFill/>
                  </pic:spPr>
                </pic:pic>
              </a:graphicData>
            </a:graphic>
            <wp14:sizeRelH relativeFrom="page">
              <wp14:pctWidth>0</wp14:pctWidth>
            </wp14:sizeRelH>
            <wp14:sizeRelV relativeFrom="page">
              <wp14:pctHeight>0</wp14:pctHeight>
            </wp14:sizeRelV>
          </wp:anchor>
        </w:drawing>
      </w:r>
      <w:r w:rsidR="000F64BB" w:rsidRPr="00201084">
        <w:t xml:space="preserve">Step </w:t>
      </w:r>
      <w:r w:rsidR="000F64BB">
        <w:t>4</w:t>
      </w:r>
      <w:r w:rsidR="000F64BB" w:rsidRPr="00201084">
        <w:t>. Selecting Strategies</w:t>
      </w:r>
    </w:p>
    <w:p w14:paraId="287EE08B" w14:textId="5D503FF9" w:rsidR="000F64BB" w:rsidRPr="00A30CA6" w:rsidRDefault="0006108A" w:rsidP="00850E53">
      <w:pPr>
        <w:pStyle w:val="BodyTextposthead"/>
      </w:pPr>
      <w:r>
        <w:t>You and your d</w:t>
      </w:r>
      <w:r w:rsidR="000F64BB" w:rsidRPr="00E31D75">
        <w:t xml:space="preserve">istrict team </w:t>
      </w:r>
      <w:r>
        <w:t>will</w:t>
      </w:r>
      <w:r w:rsidR="000F64BB">
        <w:t xml:space="preserve"> use</w:t>
      </w:r>
      <w:r w:rsidR="000F64BB" w:rsidRPr="00E31D75">
        <w:t xml:space="preserve"> the</w:t>
      </w:r>
      <w:r w:rsidR="000F64BB" w:rsidRPr="00850E53">
        <w:rPr>
          <w:rStyle w:val="BodyTextpostheadChar"/>
        </w:rPr>
        <w:t xml:space="preserve"> </w:t>
      </w:r>
      <w:r w:rsidR="000F64BB" w:rsidRPr="00E31D75">
        <w:t>results of the data review and root cause analyses (</w:t>
      </w:r>
      <w:r w:rsidR="000F64BB" w:rsidRPr="00850E53">
        <w:rPr>
          <w:rStyle w:val="BodyTextMediumItalicChar"/>
        </w:rPr>
        <w:t>Steps 2 and 3</w:t>
      </w:r>
      <w:r w:rsidR="000F64BB" w:rsidRPr="00E31D75">
        <w:t xml:space="preserve">) to identify strategies that address district equitable access gaps. </w:t>
      </w:r>
      <w:r w:rsidR="000F64BB" w:rsidRPr="00850E53">
        <w:rPr>
          <w:rStyle w:val="BodyTextMediumItalicChar"/>
        </w:rPr>
        <w:t>Step 4</w:t>
      </w:r>
      <w:r w:rsidR="000F64BB" w:rsidRPr="00E31D75">
        <w:t xml:space="preserve"> </w:t>
      </w:r>
      <w:r>
        <w:t xml:space="preserve">will </w:t>
      </w:r>
      <w:r w:rsidR="000F64BB">
        <w:t>guide</w:t>
      </w:r>
      <w:r w:rsidR="000F64BB" w:rsidRPr="00E31D75">
        <w:t xml:space="preserve"> </w:t>
      </w:r>
      <w:r>
        <w:t>you</w:t>
      </w:r>
      <w:r w:rsidR="000F64BB" w:rsidRPr="00E31D75">
        <w:t xml:space="preserve"> through the process of developing and prioritizing strategies and activities most likely to address the </w:t>
      </w:r>
      <w:r w:rsidR="000F64BB" w:rsidRPr="00795DB9">
        <w:t xml:space="preserve">root </w:t>
      </w:r>
      <w:r w:rsidR="00B85362">
        <w:t xml:space="preserve">causes </w:t>
      </w:r>
      <w:r w:rsidR="000F64BB" w:rsidRPr="00E31D75">
        <w:t xml:space="preserve">identified in </w:t>
      </w:r>
      <w:r w:rsidR="000F64BB" w:rsidRPr="00850E53">
        <w:rPr>
          <w:rStyle w:val="BodyTextMediumItalicChar"/>
        </w:rPr>
        <w:t>Step 3</w:t>
      </w:r>
      <w:r w:rsidR="000F64BB" w:rsidRPr="00E31D75">
        <w:t xml:space="preserve">. </w:t>
      </w:r>
    </w:p>
    <w:p w14:paraId="2678EF3E" w14:textId="77777777" w:rsidR="000F64BB" w:rsidRDefault="00850E53" w:rsidP="00850E53">
      <w:pPr>
        <w:pStyle w:val="Heading1"/>
      </w:pPr>
      <w:r>
        <w:rPr>
          <w:noProof/>
        </w:rPr>
        <w:drawing>
          <wp:anchor distT="0" distB="0" distL="114300" distR="114300" simplePos="0" relativeHeight="251694080" behindDoc="1" locked="0" layoutInCell="1" allowOverlap="1" wp14:anchorId="233B642A" wp14:editId="3CA740C1">
            <wp:simplePos x="0" y="0"/>
            <wp:positionH relativeFrom="column">
              <wp:posOffset>67657</wp:posOffset>
            </wp:positionH>
            <wp:positionV relativeFrom="paragraph">
              <wp:posOffset>196629</wp:posOffset>
            </wp:positionV>
            <wp:extent cx="1684815" cy="908050"/>
            <wp:effectExtent l="0" t="0" r="0" b="6350"/>
            <wp:wrapTight wrapText="bothSides">
              <wp:wrapPolygon edited="0">
                <wp:start x="0" y="0"/>
                <wp:lineTo x="0" y="21298"/>
                <wp:lineTo x="21250" y="21298"/>
                <wp:lineTo x="21250" y="0"/>
                <wp:lineTo x="0" y="0"/>
              </wp:wrapPolygon>
            </wp:wrapTight>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684815" cy="908050"/>
                    </a:xfrm>
                    <a:prstGeom prst="rect">
                      <a:avLst/>
                    </a:prstGeom>
                    <a:noFill/>
                  </pic:spPr>
                </pic:pic>
              </a:graphicData>
            </a:graphic>
            <wp14:sizeRelH relativeFrom="page">
              <wp14:pctWidth>0</wp14:pctWidth>
            </wp14:sizeRelH>
            <wp14:sizeRelV relativeFrom="page">
              <wp14:pctHeight>0</wp14:pctHeight>
            </wp14:sizeRelV>
          </wp:anchor>
        </w:drawing>
      </w:r>
      <w:r w:rsidR="000F64BB">
        <w:t>Step 5. Planning for Implementation</w:t>
      </w:r>
    </w:p>
    <w:p w14:paraId="087EE097" w14:textId="4689928C" w:rsidR="000F64BB" w:rsidRDefault="000F64BB" w:rsidP="00850E53">
      <w:pPr>
        <w:pStyle w:val="BodyTextposthead"/>
      </w:pPr>
      <w:r w:rsidRPr="00F64424">
        <w:t xml:space="preserve">In the fifth and final step in the Texas Equitable Access Roadmap, </w:t>
      </w:r>
      <w:r w:rsidR="0006108A">
        <w:t>you</w:t>
      </w:r>
      <w:r w:rsidR="0006108A" w:rsidRPr="00F64424">
        <w:t xml:space="preserve"> </w:t>
      </w:r>
      <w:r w:rsidRPr="00F64424">
        <w:t>will have used the information generated from earlier activities, including data review and analysis (</w:t>
      </w:r>
      <w:r w:rsidRPr="00850E53">
        <w:rPr>
          <w:rStyle w:val="BodyTextMediumItalicChar"/>
        </w:rPr>
        <w:t>Step 2</w:t>
      </w:r>
      <w:r w:rsidRPr="00F64424">
        <w:t>) and selecting strategies (</w:t>
      </w:r>
      <w:r w:rsidRPr="00850E53">
        <w:rPr>
          <w:rStyle w:val="BodyTextMediumItalicChar"/>
        </w:rPr>
        <w:t>Step 4</w:t>
      </w:r>
      <w:r w:rsidRPr="00F64424">
        <w:t xml:space="preserve">) to develop a </w:t>
      </w:r>
      <w:proofErr w:type="gramStart"/>
      <w:r w:rsidRPr="00F64424">
        <w:t>progress monitoring</w:t>
      </w:r>
      <w:proofErr w:type="gramEnd"/>
      <w:r w:rsidRPr="00F64424">
        <w:t xml:space="preserve"> plan so </w:t>
      </w:r>
      <w:r w:rsidR="0006108A">
        <w:t>you</w:t>
      </w:r>
      <w:r w:rsidRPr="00F64424">
        <w:t xml:space="preserve"> </w:t>
      </w:r>
      <w:r w:rsidR="00643C5C">
        <w:t xml:space="preserve">and your district </w:t>
      </w:r>
      <w:r w:rsidRPr="00F64424">
        <w:t xml:space="preserve">can effectively evaluate and track progress toward equitable access. </w:t>
      </w:r>
    </w:p>
    <w:p w14:paraId="067AA3C7" w14:textId="77777777" w:rsidR="000F64BB" w:rsidRDefault="00850E53" w:rsidP="00850E53">
      <w:pPr>
        <w:pStyle w:val="Heading1"/>
      </w:pPr>
      <w:r>
        <w:rPr>
          <w:noProof/>
        </w:rPr>
        <w:drawing>
          <wp:anchor distT="0" distB="0" distL="114300" distR="114300" simplePos="0" relativeHeight="251696128" behindDoc="1" locked="0" layoutInCell="1" allowOverlap="1" wp14:anchorId="64B6BFBF" wp14:editId="770E911A">
            <wp:simplePos x="0" y="0"/>
            <wp:positionH relativeFrom="column">
              <wp:posOffset>63500</wp:posOffset>
            </wp:positionH>
            <wp:positionV relativeFrom="paragraph">
              <wp:posOffset>205105</wp:posOffset>
            </wp:positionV>
            <wp:extent cx="1692910" cy="908050"/>
            <wp:effectExtent l="0" t="0" r="2540" b="6350"/>
            <wp:wrapTight wrapText="bothSides">
              <wp:wrapPolygon edited="0">
                <wp:start x="0" y="0"/>
                <wp:lineTo x="0" y="21298"/>
                <wp:lineTo x="21389" y="21298"/>
                <wp:lineTo x="21389" y="0"/>
                <wp:lineTo x="0" y="0"/>
              </wp:wrapPolygon>
            </wp:wrapTight>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692910" cy="908050"/>
                    </a:xfrm>
                    <a:prstGeom prst="rect">
                      <a:avLst/>
                    </a:prstGeom>
                    <a:noFill/>
                  </pic:spPr>
                </pic:pic>
              </a:graphicData>
            </a:graphic>
            <wp14:sizeRelH relativeFrom="page">
              <wp14:pctWidth>0</wp14:pctWidth>
            </wp14:sizeRelH>
            <wp14:sizeRelV relativeFrom="page">
              <wp14:pctHeight>0</wp14:pctHeight>
            </wp14:sizeRelV>
          </wp:anchor>
        </w:drawing>
      </w:r>
      <w:r w:rsidR="000F64BB">
        <w:t>Putting It All Together: The Roadmap Reporting Template</w:t>
      </w:r>
    </w:p>
    <w:p w14:paraId="04F07AC8" w14:textId="53156EC1" w:rsidR="000F64BB" w:rsidRDefault="000F64BB" w:rsidP="00794537">
      <w:pPr>
        <w:pStyle w:val="BodyTextposthead"/>
      </w:pPr>
      <w:r>
        <w:t xml:space="preserve">The reporting template on the subsequent pages provides a space for </w:t>
      </w:r>
      <w:r w:rsidR="0006108A">
        <w:t xml:space="preserve">you </w:t>
      </w:r>
      <w:r>
        <w:t xml:space="preserve">to report the key findings from each step of the Roadmap and report these findings to </w:t>
      </w:r>
      <w:r w:rsidR="0006108A">
        <w:t>your ESC</w:t>
      </w:r>
      <w:r>
        <w:t xml:space="preserve">. The reporting template </w:t>
      </w:r>
      <w:proofErr w:type="gramStart"/>
      <w:r>
        <w:t>can be filled in</w:t>
      </w:r>
      <w:proofErr w:type="gramEnd"/>
      <w:r>
        <w:t xml:space="preserve"> by directly copy</w:t>
      </w:r>
      <w:r w:rsidR="00BE62CF">
        <w:t>ing</w:t>
      </w:r>
      <w:r>
        <w:t xml:space="preserve">/pasting content from the Putting It All Together section of each step </w:t>
      </w:r>
      <w:r w:rsidR="00BE62CF">
        <w:br/>
      </w:r>
      <w:r>
        <w:t>of the toolkit.</w:t>
      </w:r>
    </w:p>
    <w:p w14:paraId="3D55CE8B" w14:textId="5A7FB6A5" w:rsidR="009710E6" w:rsidRDefault="009710E6" w:rsidP="00F9321C">
      <w:pPr>
        <w:pStyle w:val="BodyText"/>
      </w:pPr>
      <w:r>
        <w:t xml:space="preserve">For more information on the </w:t>
      </w:r>
      <w:proofErr w:type="gramStart"/>
      <w:r w:rsidR="004672AA">
        <w:t xml:space="preserve">district equity </w:t>
      </w:r>
      <w:r>
        <w:t>plan submission</w:t>
      </w:r>
      <w:proofErr w:type="gramEnd"/>
      <w:r>
        <w:t>, please visit the Te</w:t>
      </w:r>
      <w:r w:rsidR="00844DA9">
        <w:t xml:space="preserve">xas Equity Toolkit </w:t>
      </w:r>
      <w:hyperlink r:id="rId16" w:history="1">
        <w:r w:rsidR="00844DA9" w:rsidRPr="000355E3">
          <w:rPr>
            <w:rStyle w:val="Hyperlink"/>
          </w:rPr>
          <w:t>website</w:t>
        </w:r>
      </w:hyperlink>
      <w:r w:rsidR="00844DA9">
        <w:t xml:space="preserve"> </w:t>
      </w:r>
      <w:r w:rsidR="0006108A">
        <w:t>or reach out to the Equity Toolkit lead at your local ESC.</w:t>
      </w:r>
    </w:p>
    <w:p w14:paraId="2B92D26A" w14:textId="77777777" w:rsidR="000F64BB" w:rsidRDefault="000F64BB" w:rsidP="00850E53">
      <w:r>
        <w:br w:type="page"/>
      </w:r>
    </w:p>
    <w:p w14:paraId="3A9EEB60" w14:textId="67B9E89B" w:rsidR="000F64BB" w:rsidRPr="00713C17" w:rsidRDefault="000F64BB" w:rsidP="00850E53">
      <w:pPr>
        <w:pStyle w:val="Heading1"/>
      </w:pPr>
      <w:r w:rsidRPr="00B2453B">
        <w:rPr>
          <w:u w:val="single"/>
        </w:rPr>
        <w:lastRenderedPageBreak/>
        <w:t xml:space="preserve">Putting </w:t>
      </w:r>
      <w:r w:rsidR="00EC60BF" w:rsidRPr="00B2453B">
        <w:rPr>
          <w:u w:val="single"/>
        </w:rPr>
        <w:t>I</w:t>
      </w:r>
      <w:r w:rsidRPr="00B2453B">
        <w:rPr>
          <w:u w:val="single"/>
        </w:rPr>
        <w:t>t All Together</w:t>
      </w:r>
      <w:r w:rsidRPr="008E3737">
        <w:t xml:space="preserve">: Roadmap Overview </w:t>
      </w:r>
      <w:r w:rsidR="00A77807">
        <w:t>and</w:t>
      </w:r>
      <w:r w:rsidR="00A77807" w:rsidRPr="008E3737">
        <w:t xml:space="preserve"> </w:t>
      </w:r>
      <w:r w:rsidRPr="008E3737">
        <w:t>Reporting Template</w:t>
      </w:r>
    </w:p>
    <w:p w14:paraId="7DB8848F" w14:textId="77777777" w:rsidR="000F64BB" w:rsidRDefault="000F64BB" w:rsidP="00850E53">
      <w:pPr>
        <w:pStyle w:val="Heading2"/>
      </w:pPr>
      <w:r>
        <w:t>Instructions</w:t>
      </w:r>
    </w:p>
    <w:p w14:paraId="2AC2551E" w14:textId="77777777" w:rsidR="000F64BB" w:rsidRPr="00F9321C" w:rsidRDefault="000F64BB" w:rsidP="00850E53">
      <w:pPr>
        <w:pStyle w:val="BodyTextposthead"/>
        <w:rPr>
          <w:spacing w:val="4"/>
        </w:rPr>
      </w:pPr>
      <w:r w:rsidRPr="00F9321C">
        <w:rPr>
          <w:spacing w:val="4"/>
        </w:rPr>
        <w:t xml:space="preserve">Please complete each field below. A district leader or staffer who was strongly involved with the equity work your district undertook while completing the five tools of this toolkit should complete this template with the support from the overall equity planning team. Each section of the reporting template </w:t>
      </w:r>
      <w:proofErr w:type="gramStart"/>
      <w:r w:rsidRPr="00F9321C">
        <w:rPr>
          <w:spacing w:val="4"/>
        </w:rPr>
        <w:t>can be filled in</w:t>
      </w:r>
      <w:proofErr w:type="gramEnd"/>
      <w:r w:rsidRPr="00F9321C">
        <w:rPr>
          <w:spacing w:val="4"/>
        </w:rPr>
        <w:t xml:space="preserve"> by copying and pasting the information from the end of each step in the toolkit.</w:t>
      </w:r>
    </w:p>
    <w:p w14:paraId="7C481A6A" w14:textId="0787711F" w:rsidR="000F64BB" w:rsidRDefault="000F64BB" w:rsidP="00850E53">
      <w:pPr>
        <w:pStyle w:val="BodyText"/>
      </w:pPr>
      <w:r>
        <w:t xml:space="preserve">If you have any questions, please reach out to </w:t>
      </w:r>
      <w:r w:rsidR="00643C5C">
        <w:t>the Equity Toolkit lead at your local ESC</w:t>
      </w:r>
      <w:r>
        <w:t>.</w:t>
      </w:r>
    </w:p>
    <w:p w14:paraId="752A4F63" w14:textId="77777777" w:rsidR="000F64BB" w:rsidRDefault="000F64BB" w:rsidP="00850E53">
      <w:pPr>
        <w:pStyle w:val="Heading2"/>
        <w:spacing w:after="120"/>
      </w:pPr>
      <w:r w:rsidRPr="000E0365">
        <w:t>District Reporting Template</w:t>
      </w:r>
    </w:p>
    <w:tbl>
      <w:tblPr>
        <w:tblStyle w:val="TexasToolkittable1"/>
        <w:tblW w:w="0" w:type="auto"/>
        <w:tblLook w:val="0600" w:firstRow="0" w:lastRow="0" w:firstColumn="0" w:lastColumn="0" w:noHBand="1" w:noVBand="1"/>
      </w:tblPr>
      <w:tblGrid>
        <w:gridCol w:w="3775"/>
        <w:gridCol w:w="5575"/>
      </w:tblGrid>
      <w:tr w:rsidR="000F64BB" w14:paraId="2209B4B5" w14:textId="77777777" w:rsidTr="00850E53">
        <w:tc>
          <w:tcPr>
            <w:tcW w:w="3775" w:type="dxa"/>
            <w:shd w:val="clear" w:color="auto" w:fill="E6F1FA" w:themeFill="accent1" w:themeFillTint="33"/>
          </w:tcPr>
          <w:p w14:paraId="733484F8" w14:textId="77777777" w:rsidR="000F64BB" w:rsidRPr="004F6777" w:rsidRDefault="000F64BB" w:rsidP="00850E53">
            <w:pPr>
              <w:rPr>
                <w:b/>
              </w:rPr>
            </w:pPr>
            <w:r w:rsidRPr="004F6777">
              <w:rPr>
                <w:b/>
              </w:rPr>
              <w:t>District Name</w:t>
            </w:r>
          </w:p>
        </w:tc>
        <w:tc>
          <w:tcPr>
            <w:tcW w:w="5575" w:type="dxa"/>
          </w:tcPr>
          <w:p w14:paraId="40DE0F9C" w14:textId="77777777" w:rsidR="000F64BB" w:rsidRDefault="000F64BB" w:rsidP="00850E53"/>
        </w:tc>
      </w:tr>
      <w:tr w:rsidR="000F64BB" w14:paraId="73830A9F" w14:textId="77777777" w:rsidTr="00850E53">
        <w:tc>
          <w:tcPr>
            <w:tcW w:w="3775" w:type="dxa"/>
            <w:shd w:val="clear" w:color="auto" w:fill="E6F1FA" w:themeFill="accent1" w:themeFillTint="33"/>
          </w:tcPr>
          <w:p w14:paraId="69663FD8" w14:textId="77777777" w:rsidR="000F64BB" w:rsidRPr="004F6777" w:rsidRDefault="000F64BB" w:rsidP="00850E53">
            <w:pPr>
              <w:rPr>
                <w:b/>
              </w:rPr>
            </w:pPr>
            <w:r>
              <w:rPr>
                <w:b/>
              </w:rPr>
              <w:t>County District Number (CDN)</w:t>
            </w:r>
          </w:p>
        </w:tc>
        <w:tc>
          <w:tcPr>
            <w:tcW w:w="5575" w:type="dxa"/>
          </w:tcPr>
          <w:p w14:paraId="12AC353C" w14:textId="77777777" w:rsidR="000F64BB" w:rsidRDefault="000F64BB" w:rsidP="00850E53"/>
        </w:tc>
      </w:tr>
      <w:tr w:rsidR="000F64BB" w14:paraId="0C9958BE" w14:textId="77777777" w:rsidTr="00850E53">
        <w:tc>
          <w:tcPr>
            <w:tcW w:w="3775" w:type="dxa"/>
            <w:shd w:val="clear" w:color="auto" w:fill="E6F1FA" w:themeFill="accent1" w:themeFillTint="33"/>
          </w:tcPr>
          <w:p w14:paraId="053B6F13" w14:textId="77777777" w:rsidR="000F64BB" w:rsidRPr="004F6777" w:rsidRDefault="000F64BB" w:rsidP="00850E53">
            <w:pPr>
              <w:rPr>
                <w:b/>
              </w:rPr>
            </w:pPr>
            <w:r w:rsidRPr="004F6777">
              <w:rPr>
                <w:b/>
              </w:rPr>
              <w:t>Date</w:t>
            </w:r>
          </w:p>
        </w:tc>
        <w:tc>
          <w:tcPr>
            <w:tcW w:w="5575" w:type="dxa"/>
          </w:tcPr>
          <w:p w14:paraId="5420E260" w14:textId="77777777" w:rsidR="000F64BB" w:rsidRDefault="000F64BB" w:rsidP="00850E53"/>
        </w:tc>
      </w:tr>
      <w:tr w:rsidR="000F64BB" w14:paraId="46CC5AA6" w14:textId="77777777" w:rsidTr="00850E53">
        <w:tc>
          <w:tcPr>
            <w:tcW w:w="3775" w:type="dxa"/>
            <w:shd w:val="clear" w:color="auto" w:fill="E6F1FA" w:themeFill="accent1" w:themeFillTint="33"/>
          </w:tcPr>
          <w:p w14:paraId="71EE18A8" w14:textId="77777777" w:rsidR="000F64BB" w:rsidRPr="004F6777" w:rsidRDefault="000F64BB" w:rsidP="00850E53">
            <w:pPr>
              <w:rPr>
                <w:b/>
              </w:rPr>
            </w:pPr>
            <w:r>
              <w:rPr>
                <w:b/>
              </w:rPr>
              <w:t>Name/E</w:t>
            </w:r>
            <w:r w:rsidR="00A05889">
              <w:rPr>
                <w:b/>
              </w:rPr>
              <w:t>-</w:t>
            </w:r>
            <w:r>
              <w:rPr>
                <w:b/>
              </w:rPr>
              <w:t>mail of District Point Person</w:t>
            </w:r>
          </w:p>
        </w:tc>
        <w:tc>
          <w:tcPr>
            <w:tcW w:w="5575" w:type="dxa"/>
          </w:tcPr>
          <w:p w14:paraId="5634E89B" w14:textId="77777777" w:rsidR="000F64BB" w:rsidRDefault="000F64BB" w:rsidP="00850E53"/>
        </w:tc>
      </w:tr>
    </w:tbl>
    <w:p w14:paraId="28BE7211" w14:textId="0D9FF380" w:rsidR="000F64BB" w:rsidRPr="00850E53" w:rsidRDefault="00D13DF3" w:rsidP="00850E53">
      <w:pPr>
        <w:pStyle w:val="Heading1"/>
      </w:pPr>
      <w:r w:rsidRPr="00145ED2">
        <w:rPr>
          <w:noProof/>
        </w:rPr>
        <w:drawing>
          <wp:anchor distT="0" distB="0" distL="114300" distR="114300" simplePos="0" relativeHeight="251700224" behindDoc="1" locked="0" layoutInCell="1" allowOverlap="1" wp14:anchorId="23F12856" wp14:editId="4C1DED03">
            <wp:simplePos x="0" y="0"/>
            <wp:positionH relativeFrom="column">
              <wp:posOffset>0</wp:posOffset>
            </wp:positionH>
            <wp:positionV relativeFrom="paragraph">
              <wp:posOffset>208280</wp:posOffset>
            </wp:positionV>
            <wp:extent cx="1692910" cy="908685"/>
            <wp:effectExtent l="0" t="0" r="2540" b="5715"/>
            <wp:wrapTight wrapText="bothSides">
              <wp:wrapPolygon edited="0">
                <wp:start x="0" y="0"/>
                <wp:lineTo x="0" y="21283"/>
                <wp:lineTo x="21389" y="21283"/>
                <wp:lineTo x="21389" y="0"/>
                <wp:lineTo x="0" y="0"/>
              </wp:wrapPolygon>
            </wp:wrapTight>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692910" cy="908685"/>
                    </a:xfrm>
                    <a:prstGeom prst="rect">
                      <a:avLst/>
                    </a:prstGeom>
                    <a:noFill/>
                  </pic:spPr>
                </pic:pic>
              </a:graphicData>
            </a:graphic>
            <wp14:sizeRelH relativeFrom="page">
              <wp14:pctWidth>0</wp14:pctWidth>
            </wp14:sizeRelH>
            <wp14:sizeRelV relativeFrom="page">
              <wp14:pctHeight>0</wp14:pctHeight>
            </wp14:sizeRelV>
          </wp:anchor>
        </w:drawing>
      </w:r>
      <w:r w:rsidR="000F64BB" w:rsidRPr="00145ED2">
        <w:t>Results of Step 1.</w:t>
      </w:r>
      <w:r w:rsidR="000F64BB" w:rsidRPr="00850E53">
        <w:t xml:space="preserve"> </w:t>
      </w:r>
      <w:r w:rsidR="001B249C">
        <w:t xml:space="preserve">Engaging </w:t>
      </w:r>
      <w:r w:rsidR="00A77807">
        <w:t>and</w:t>
      </w:r>
      <w:r w:rsidR="001B249C">
        <w:t xml:space="preserve"> Communicating with Stakeholders</w:t>
      </w:r>
    </w:p>
    <w:p w14:paraId="2D2AAEE6" w14:textId="5F5D0D7D" w:rsidR="000F64BB" w:rsidRPr="00F9321C" w:rsidRDefault="000F64BB" w:rsidP="00D13DF3">
      <w:pPr>
        <w:pStyle w:val="BodyTextposthead"/>
        <w:rPr>
          <w:spacing w:val="6"/>
        </w:rPr>
      </w:pPr>
      <w:r w:rsidRPr="00F9321C">
        <w:rPr>
          <w:spacing w:val="6"/>
        </w:rPr>
        <w:t>Note</w:t>
      </w:r>
      <w:r w:rsidRPr="00F9321C">
        <w:rPr>
          <w:rStyle w:val="BodyTextpostheadChar"/>
          <w:spacing w:val="6"/>
        </w:rPr>
        <w:t xml:space="preserve"> </w:t>
      </w:r>
      <w:r w:rsidRPr="00F9321C">
        <w:rPr>
          <w:spacing w:val="6"/>
        </w:rPr>
        <w:t xml:space="preserve">that TEA does not require districts to report the outcomes of their stakeholder engagement planning. </w:t>
      </w:r>
      <w:r w:rsidR="00643C5C" w:rsidRPr="00F9321C">
        <w:rPr>
          <w:spacing w:val="6"/>
        </w:rPr>
        <w:t>Your t</w:t>
      </w:r>
      <w:r w:rsidRPr="00F9321C">
        <w:rPr>
          <w:spacing w:val="6"/>
        </w:rPr>
        <w:t>eam may move forward to Step</w:t>
      </w:r>
      <w:r w:rsidR="00F9321C" w:rsidRPr="00F9321C">
        <w:rPr>
          <w:spacing w:val="6"/>
        </w:rPr>
        <w:t> </w:t>
      </w:r>
      <w:r w:rsidRPr="00F9321C">
        <w:rPr>
          <w:spacing w:val="6"/>
        </w:rPr>
        <w:t>2 to begin reporting the outcomes o</w:t>
      </w:r>
      <w:r w:rsidR="00850E53" w:rsidRPr="00F9321C">
        <w:rPr>
          <w:spacing w:val="6"/>
        </w:rPr>
        <w:t xml:space="preserve">f </w:t>
      </w:r>
      <w:r w:rsidR="00643C5C" w:rsidRPr="00F9321C">
        <w:rPr>
          <w:spacing w:val="6"/>
        </w:rPr>
        <w:t>your district’s</w:t>
      </w:r>
      <w:r w:rsidR="00850E53" w:rsidRPr="00F9321C">
        <w:rPr>
          <w:spacing w:val="6"/>
        </w:rPr>
        <w:t xml:space="preserve"> equity plan development</w:t>
      </w:r>
      <w:r w:rsidR="0056797B" w:rsidRPr="00F9321C">
        <w:rPr>
          <w:spacing w:val="6"/>
        </w:rPr>
        <w:t>.</w:t>
      </w:r>
    </w:p>
    <w:p w14:paraId="59847449" w14:textId="614AE845" w:rsidR="000F64BB" w:rsidRPr="00850E53" w:rsidRDefault="00D13DF3" w:rsidP="00850E53">
      <w:pPr>
        <w:pStyle w:val="Heading1"/>
      </w:pPr>
      <w:r w:rsidRPr="00D13DF3">
        <w:rPr>
          <w:noProof/>
        </w:rPr>
        <w:drawing>
          <wp:anchor distT="0" distB="0" distL="114300" distR="114300" simplePos="0" relativeHeight="251701248" behindDoc="1" locked="0" layoutInCell="1" allowOverlap="1" wp14:anchorId="5B13E4F4" wp14:editId="2A4C89CE">
            <wp:simplePos x="0" y="0"/>
            <wp:positionH relativeFrom="column">
              <wp:posOffset>39370</wp:posOffset>
            </wp:positionH>
            <wp:positionV relativeFrom="paragraph">
              <wp:posOffset>274955</wp:posOffset>
            </wp:positionV>
            <wp:extent cx="1692910" cy="908050"/>
            <wp:effectExtent l="0" t="0" r="2540" b="6350"/>
            <wp:wrapTight wrapText="bothSides">
              <wp:wrapPolygon edited="0">
                <wp:start x="0" y="0"/>
                <wp:lineTo x="0" y="21298"/>
                <wp:lineTo x="21389" y="21298"/>
                <wp:lineTo x="21389" y="0"/>
                <wp:lineTo x="0" y="0"/>
              </wp:wrapPolygon>
            </wp:wrapTight>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92910" cy="908050"/>
                    </a:xfrm>
                    <a:prstGeom prst="rect">
                      <a:avLst/>
                    </a:prstGeom>
                    <a:noFill/>
                  </pic:spPr>
                </pic:pic>
              </a:graphicData>
            </a:graphic>
            <wp14:sizeRelH relativeFrom="page">
              <wp14:pctWidth>0</wp14:pctWidth>
            </wp14:sizeRelH>
            <wp14:sizeRelV relativeFrom="page">
              <wp14:pctHeight>0</wp14:pctHeight>
            </wp14:sizeRelV>
          </wp:anchor>
        </w:drawing>
      </w:r>
      <w:r w:rsidR="000F64BB" w:rsidRPr="00850E53">
        <w:t>Results of Step 2. Review</w:t>
      </w:r>
      <w:r w:rsidR="001B249C">
        <w:t>ing</w:t>
      </w:r>
      <w:r w:rsidR="000F64BB" w:rsidRPr="00850E53">
        <w:t xml:space="preserve"> </w:t>
      </w:r>
      <w:r w:rsidR="00A77807">
        <w:t>and</w:t>
      </w:r>
      <w:r w:rsidR="00A77807" w:rsidRPr="00850E53">
        <w:t xml:space="preserve"> </w:t>
      </w:r>
      <w:r w:rsidR="000F64BB" w:rsidRPr="00850E53">
        <w:t>Analy</w:t>
      </w:r>
      <w:r w:rsidR="001B249C">
        <w:t>zing Data</w:t>
      </w:r>
    </w:p>
    <w:p w14:paraId="496E0057" w14:textId="6A918D0E" w:rsidR="000F64BB" w:rsidRDefault="000F64BB" w:rsidP="00D13DF3">
      <w:pPr>
        <w:pStyle w:val="BodyTextposthead"/>
      </w:pPr>
      <w:r w:rsidRPr="004631CD">
        <w:t xml:space="preserve">For this next set of items, please refer to the </w:t>
      </w:r>
      <w:r>
        <w:t>“</w:t>
      </w:r>
      <w:r w:rsidRPr="004631CD">
        <w:t xml:space="preserve">Putting </w:t>
      </w:r>
      <w:r w:rsidR="00BE62CF">
        <w:t>I</w:t>
      </w:r>
      <w:r w:rsidRPr="004631CD">
        <w:t xml:space="preserve">t All Together: Incorporating Your </w:t>
      </w:r>
      <w:r w:rsidR="001B249C">
        <w:t>Review</w:t>
      </w:r>
      <w:r w:rsidR="00496059">
        <w:t>ing</w:t>
      </w:r>
      <w:r w:rsidR="001B249C">
        <w:t xml:space="preserve"> </w:t>
      </w:r>
      <w:r w:rsidR="00A77807">
        <w:t>and</w:t>
      </w:r>
      <w:r w:rsidR="001B249C">
        <w:t xml:space="preserve"> Analyzing Data</w:t>
      </w:r>
      <w:r w:rsidRPr="004631CD">
        <w:t xml:space="preserve"> Efforts </w:t>
      </w:r>
      <w:proofErr w:type="gramStart"/>
      <w:r w:rsidR="00BE62CF" w:rsidRPr="004631CD">
        <w:t>Into</w:t>
      </w:r>
      <w:proofErr w:type="gramEnd"/>
      <w:r w:rsidR="00BE62CF" w:rsidRPr="004631CD">
        <w:t xml:space="preserve"> Your </w:t>
      </w:r>
      <w:r w:rsidRPr="004631CD">
        <w:t>Roadmap Reporting Template</w:t>
      </w:r>
      <w:r>
        <w:t xml:space="preserve">” from the </w:t>
      </w:r>
      <w:r w:rsidRPr="00D13DF3">
        <w:rPr>
          <w:rStyle w:val="BodyTextMediumItalicChar"/>
        </w:rPr>
        <w:t xml:space="preserve">Step 2. </w:t>
      </w:r>
      <w:r w:rsidR="008954ED" w:rsidRPr="008954ED">
        <w:rPr>
          <w:rStyle w:val="BodyTextMediumItalicChar"/>
        </w:rPr>
        <w:t xml:space="preserve">Reviewing </w:t>
      </w:r>
      <w:r w:rsidR="00A77807">
        <w:rPr>
          <w:rStyle w:val="BodyTextMediumItalicChar"/>
        </w:rPr>
        <w:t xml:space="preserve">and </w:t>
      </w:r>
      <w:r w:rsidR="008954ED" w:rsidRPr="008954ED">
        <w:rPr>
          <w:rStyle w:val="BodyTextMediumItalicChar"/>
        </w:rPr>
        <w:t>Analyzing Data</w:t>
      </w:r>
      <w:r>
        <w:t xml:space="preserve"> tool. Please transfer the information from the end of Step 2 into the spaces below.</w:t>
      </w:r>
    </w:p>
    <w:p w14:paraId="1C0FF20F" w14:textId="77777777" w:rsidR="000F64BB" w:rsidRDefault="000F64BB" w:rsidP="00D13DF3">
      <w:pPr>
        <w:pStyle w:val="BodyText"/>
      </w:pPr>
      <w:r>
        <w:t>Districts with four or more campuses</w:t>
      </w:r>
      <w:r w:rsidR="00BE62CF">
        <w:t xml:space="preserve"> should</w:t>
      </w:r>
      <w:r>
        <w:t xml:space="preserve"> complete Table A. Districts with </w:t>
      </w:r>
      <w:r w:rsidR="00BE62CF">
        <w:t>three or fewer campuse</w:t>
      </w:r>
      <w:r>
        <w:t>s</w:t>
      </w:r>
      <w:r w:rsidR="00BE62CF">
        <w:t xml:space="preserve"> should</w:t>
      </w:r>
      <w:r>
        <w:t xml:space="preserve"> complete Table B. All districts </w:t>
      </w:r>
      <w:r w:rsidR="00BE62CF">
        <w:t xml:space="preserve">also </w:t>
      </w:r>
      <w:r>
        <w:t>must respond to the two questions following Table B on your district’s definition of effective teaching.</w:t>
      </w:r>
      <w:r>
        <w:br w:type="page"/>
      </w:r>
    </w:p>
    <w:p w14:paraId="2AC5E4DE" w14:textId="348D9912" w:rsidR="000F64BB" w:rsidRDefault="00145ED2" w:rsidP="00D13DF3">
      <w:pPr>
        <w:pStyle w:val="TableTitle"/>
      </w:pPr>
      <w:r>
        <w:lastRenderedPageBreak/>
        <w:t xml:space="preserve">Table </w:t>
      </w:r>
      <w:r w:rsidR="00CC368C">
        <w:t>A. Districts w</w:t>
      </w:r>
      <w:r w:rsidR="000F64BB">
        <w:t>ith Four or More Campuses—Reporting Template for Calculating Equity Gaps for Inexperienced and Out-of-Field Teachers</w:t>
      </w:r>
    </w:p>
    <w:tbl>
      <w:tblPr>
        <w:tblStyle w:val="TexasToolkittable1"/>
        <w:tblW w:w="5000" w:type="pct"/>
        <w:tblLook w:val="0620" w:firstRow="1" w:lastRow="0" w:firstColumn="0" w:lastColumn="0" w:noHBand="1" w:noVBand="1"/>
      </w:tblPr>
      <w:tblGrid>
        <w:gridCol w:w="590"/>
        <w:gridCol w:w="3815"/>
        <w:gridCol w:w="2472"/>
        <w:gridCol w:w="2473"/>
      </w:tblGrid>
      <w:tr w:rsidR="00C83D65" w14:paraId="678DEF97" w14:textId="77777777" w:rsidTr="00F9321C">
        <w:trPr>
          <w:cnfStyle w:val="100000000000" w:firstRow="1" w:lastRow="0" w:firstColumn="0" w:lastColumn="0" w:oddVBand="0" w:evenVBand="0" w:oddHBand="0" w:evenHBand="0" w:firstRowFirstColumn="0" w:firstRowLastColumn="0" w:lastRowFirstColumn="0" w:lastRowLastColumn="0"/>
          <w:tblHeader/>
        </w:trPr>
        <w:tc>
          <w:tcPr>
            <w:tcW w:w="590" w:type="dxa"/>
            <w:vMerge w:val="restart"/>
            <w:vAlign w:val="bottom"/>
          </w:tcPr>
          <w:p w14:paraId="607DC625" w14:textId="77777777" w:rsidR="00C83D65" w:rsidRPr="00464E00" w:rsidRDefault="00C83D65" w:rsidP="00541CF6">
            <w:pPr>
              <w:pStyle w:val="TableColumnHeadingCenter"/>
            </w:pPr>
            <w:r w:rsidRPr="00464E00">
              <w:t>R</w:t>
            </w:r>
            <w:r>
              <w:t>ow</w:t>
            </w:r>
          </w:p>
        </w:tc>
        <w:tc>
          <w:tcPr>
            <w:tcW w:w="3815" w:type="dxa"/>
            <w:vMerge w:val="restart"/>
            <w:vAlign w:val="bottom"/>
          </w:tcPr>
          <w:p w14:paraId="54276DE1" w14:textId="77777777" w:rsidR="00C83D65" w:rsidRDefault="00C83D65" w:rsidP="00541CF6">
            <w:pPr>
              <w:pStyle w:val="TableColumnHeadingCenter"/>
            </w:pPr>
            <w:r w:rsidRPr="001B3484">
              <w:t>Comparison</w:t>
            </w:r>
          </w:p>
        </w:tc>
        <w:tc>
          <w:tcPr>
            <w:tcW w:w="4945" w:type="dxa"/>
            <w:gridSpan w:val="2"/>
            <w:tcBorders>
              <w:bottom w:val="single" w:sz="6" w:space="0" w:color="FFFFFF" w:themeColor="background1"/>
            </w:tcBorders>
            <w:vAlign w:val="bottom"/>
          </w:tcPr>
          <w:p w14:paraId="07AF34EC" w14:textId="77777777" w:rsidR="00C83D65" w:rsidRDefault="00C83D65" w:rsidP="00541CF6">
            <w:pPr>
              <w:pStyle w:val="TableColumnHeadingCenter"/>
            </w:pPr>
            <w:r>
              <w:t>Percentages of:</w:t>
            </w:r>
          </w:p>
        </w:tc>
      </w:tr>
      <w:tr w:rsidR="00C83D65" w14:paraId="269A0604" w14:textId="77777777" w:rsidTr="00F9321C">
        <w:trPr>
          <w:cnfStyle w:val="100000000000" w:firstRow="1" w:lastRow="0" w:firstColumn="0" w:lastColumn="0" w:oddVBand="0" w:evenVBand="0" w:oddHBand="0" w:evenHBand="0" w:firstRowFirstColumn="0" w:firstRowLastColumn="0" w:lastRowFirstColumn="0" w:lastRowLastColumn="0"/>
          <w:trHeight w:val="206"/>
          <w:tblHeader/>
        </w:trPr>
        <w:tc>
          <w:tcPr>
            <w:tcW w:w="590" w:type="dxa"/>
            <w:vMerge/>
            <w:tcBorders>
              <w:bottom w:val="nil"/>
            </w:tcBorders>
            <w:vAlign w:val="bottom"/>
          </w:tcPr>
          <w:p w14:paraId="4B2D53FD" w14:textId="77777777" w:rsidR="00C83D65" w:rsidRPr="00464E00" w:rsidRDefault="00C83D65" w:rsidP="00541CF6">
            <w:pPr>
              <w:pStyle w:val="TableColumnHeadingCenter"/>
            </w:pPr>
          </w:p>
        </w:tc>
        <w:tc>
          <w:tcPr>
            <w:tcW w:w="3815" w:type="dxa"/>
            <w:vMerge/>
            <w:tcBorders>
              <w:bottom w:val="nil"/>
            </w:tcBorders>
            <w:vAlign w:val="bottom"/>
          </w:tcPr>
          <w:p w14:paraId="24FBEC79" w14:textId="77777777" w:rsidR="00C83D65" w:rsidRPr="001B3484" w:rsidRDefault="00C83D65" w:rsidP="00541CF6">
            <w:pPr>
              <w:pStyle w:val="TableColumnHeadingCenter"/>
            </w:pPr>
          </w:p>
        </w:tc>
        <w:tc>
          <w:tcPr>
            <w:tcW w:w="2472" w:type="dxa"/>
            <w:tcBorders>
              <w:top w:val="single" w:sz="6" w:space="0" w:color="FFFFFF" w:themeColor="background1"/>
              <w:bottom w:val="nil"/>
            </w:tcBorders>
            <w:vAlign w:val="bottom"/>
          </w:tcPr>
          <w:p w14:paraId="6FABB672" w14:textId="77777777" w:rsidR="00C83D65" w:rsidRPr="00464E00" w:rsidRDefault="00C83D65" w:rsidP="00541CF6">
            <w:pPr>
              <w:pStyle w:val="TableColumnHeadingCenter"/>
            </w:pPr>
            <w:r>
              <w:t>Ine</w:t>
            </w:r>
            <w:r w:rsidRPr="00464E00">
              <w:t>xperienced Teachers</w:t>
            </w:r>
          </w:p>
        </w:tc>
        <w:tc>
          <w:tcPr>
            <w:tcW w:w="2473" w:type="dxa"/>
            <w:tcBorders>
              <w:top w:val="single" w:sz="6" w:space="0" w:color="FFFFFF" w:themeColor="background1"/>
              <w:bottom w:val="nil"/>
            </w:tcBorders>
            <w:vAlign w:val="bottom"/>
          </w:tcPr>
          <w:p w14:paraId="2983211C" w14:textId="77777777" w:rsidR="00C83D65" w:rsidRDefault="00C83D65" w:rsidP="00541CF6">
            <w:pPr>
              <w:pStyle w:val="TableColumnHeadingCenter"/>
            </w:pPr>
            <w:r>
              <w:t>Out-of</w:t>
            </w:r>
            <w:r w:rsidRPr="00464E00">
              <w:t>-Field Teachers</w:t>
            </w:r>
          </w:p>
        </w:tc>
      </w:tr>
      <w:tr w:rsidR="00C83D65" w14:paraId="6AA94B9A" w14:textId="77777777" w:rsidTr="00CC368C">
        <w:trPr>
          <w:trHeight w:val="251"/>
        </w:trPr>
        <w:tc>
          <w:tcPr>
            <w:tcW w:w="9350" w:type="dxa"/>
            <w:gridSpan w:val="4"/>
            <w:shd w:val="clear" w:color="auto" w:fill="D0CECE" w:themeFill="background2" w:themeFillShade="E6"/>
            <w:vAlign w:val="center"/>
          </w:tcPr>
          <w:p w14:paraId="7DE58EEE" w14:textId="77777777" w:rsidR="00C83D65" w:rsidRDefault="00C83D65" w:rsidP="00541CF6">
            <w:pPr>
              <w:pStyle w:val="TableSubheading"/>
            </w:pPr>
            <w:r>
              <w:t>Equity Gap Calculations: Low-Income Students</w:t>
            </w:r>
          </w:p>
        </w:tc>
      </w:tr>
      <w:tr w:rsidR="00C83D65" w14:paraId="560B89F7" w14:textId="77777777" w:rsidTr="00F9321C">
        <w:trPr>
          <w:trHeight w:val="278"/>
        </w:trPr>
        <w:tc>
          <w:tcPr>
            <w:tcW w:w="590" w:type="dxa"/>
            <w:vAlign w:val="center"/>
          </w:tcPr>
          <w:p w14:paraId="7BC6389F" w14:textId="77777777" w:rsidR="00C83D65" w:rsidRPr="00464E00" w:rsidRDefault="00C83D65" w:rsidP="00541CF6">
            <w:pPr>
              <w:pStyle w:val="TableSubheadingCentered"/>
            </w:pPr>
            <w:r>
              <w:t>A</w:t>
            </w:r>
          </w:p>
        </w:tc>
        <w:tc>
          <w:tcPr>
            <w:tcW w:w="3815" w:type="dxa"/>
            <w:vAlign w:val="center"/>
          </w:tcPr>
          <w:p w14:paraId="7E771841" w14:textId="77777777" w:rsidR="00C83D65" w:rsidRDefault="00C83D65" w:rsidP="00541CF6">
            <w:pPr>
              <w:pStyle w:val="TableText"/>
            </w:pPr>
            <w:r>
              <w:t>High-poverty quartile</w:t>
            </w:r>
          </w:p>
        </w:tc>
        <w:tc>
          <w:tcPr>
            <w:tcW w:w="2472" w:type="dxa"/>
            <w:vAlign w:val="center"/>
          </w:tcPr>
          <w:p w14:paraId="39EA766A" w14:textId="77777777" w:rsidR="00C83D65" w:rsidRPr="00AE5108" w:rsidRDefault="00C83D65" w:rsidP="00541CF6">
            <w:pPr>
              <w:pStyle w:val="TableText14pt"/>
            </w:pPr>
          </w:p>
        </w:tc>
        <w:tc>
          <w:tcPr>
            <w:tcW w:w="2473" w:type="dxa"/>
            <w:vAlign w:val="center"/>
          </w:tcPr>
          <w:p w14:paraId="72CDA3A3" w14:textId="77777777" w:rsidR="00C83D65" w:rsidRDefault="00C83D65" w:rsidP="00541CF6">
            <w:pPr>
              <w:pStyle w:val="TableText14pt"/>
            </w:pPr>
          </w:p>
        </w:tc>
      </w:tr>
      <w:tr w:rsidR="00C83D65" w14:paraId="36DB2CD4" w14:textId="77777777" w:rsidTr="00F9321C">
        <w:trPr>
          <w:trHeight w:val="296"/>
        </w:trPr>
        <w:tc>
          <w:tcPr>
            <w:tcW w:w="590" w:type="dxa"/>
            <w:vAlign w:val="center"/>
          </w:tcPr>
          <w:p w14:paraId="13B8BC59" w14:textId="77777777" w:rsidR="00C83D65" w:rsidRPr="00464E00" w:rsidRDefault="00C83D65" w:rsidP="00541CF6">
            <w:pPr>
              <w:pStyle w:val="TableSubheadingCentered"/>
            </w:pPr>
            <w:r>
              <w:t>B</w:t>
            </w:r>
          </w:p>
        </w:tc>
        <w:tc>
          <w:tcPr>
            <w:tcW w:w="3815" w:type="dxa"/>
            <w:vAlign w:val="center"/>
          </w:tcPr>
          <w:p w14:paraId="311E6039" w14:textId="77777777" w:rsidR="00C83D65" w:rsidRDefault="00C83D65" w:rsidP="00541CF6">
            <w:pPr>
              <w:pStyle w:val="TableText"/>
            </w:pPr>
            <w:r>
              <w:t>Low-poverty quartile</w:t>
            </w:r>
          </w:p>
        </w:tc>
        <w:tc>
          <w:tcPr>
            <w:tcW w:w="2472" w:type="dxa"/>
            <w:vAlign w:val="center"/>
          </w:tcPr>
          <w:p w14:paraId="755E45E4" w14:textId="77777777" w:rsidR="00C83D65" w:rsidRDefault="00C83D65" w:rsidP="00541CF6">
            <w:pPr>
              <w:pStyle w:val="TableText14pt"/>
            </w:pPr>
          </w:p>
        </w:tc>
        <w:tc>
          <w:tcPr>
            <w:tcW w:w="2473" w:type="dxa"/>
            <w:vAlign w:val="center"/>
          </w:tcPr>
          <w:p w14:paraId="3CAC3E34" w14:textId="77777777" w:rsidR="00C83D65" w:rsidRDefault="00C83D65" w:rsidP="00541CF6">
            <w:pPr>
              <w:pStyle w:val="TableText14pt"/>
            </w:pPr>
          </w:p>
        </w:tc>
      </w:tr>
      <w:tr w:rsidR="00C83D65" w14:paraId="0AED2996" w14:textId="77777777" w:rsidTr="00CC368C">
        <w:trPr>
          <w:trHeight w:val="359"/>
        </w:trPr>
        <w:tc>
          <w:tcPr>
            <w:tcW w:w="590" w:type="dxa"/>
            <w:shd w:val="clear" w:color="auto" w:fill="E7E6E6" w:themeFill="background2"/>
            <w:vAlign w:val="center"/>
          </w:tcPr>
          <w:p w14:paraId="115395FD" w14:textId="77777777" w:rsidR="00C83D65" w:rsidRPr="00464E00" w:rsidRDefault="00C83D65" w:rsidP="00541CF6">
            <w:pPr>
              <w:pStyle w:val="TableSubheadingCentered"/>
            </w:pPr>
            <w:r>
              <w:t>C</w:t>
            </w:r>
          </w:p>
        </w:tc>
        <w:tc>
          <w:tcPr>
            <w:tcW w:w="3815" w:type="dxa"/>
            <w:shd w:val="clear" w:color="auto" w:fill="E7E6E6" w:themeFill="background2"/>
            <w:vAlign w:val="center"/>
          </w:tcPr>
          <w:p w14:paraId="4EADBDA3" w14:textId="4D3E3618" w:rsidR="00C83D65" w:rsidRDefault="00C83D65" w:rsidP="00F9321C">
            <w:pPr>
              <w:pStyle w:val="TableText"/>
            </w:pPr>
            <w:r w:rsidRPr="00F9321C">
              <w:rPr>
                <w:rStyle w:val="TableSubheadingChar"/>
              </w:rPr>
              <w:t>District equity gap:</w:t>
            </w:r>
            <w:r>
              <w:rPr>
                <w:b/>
              </w:rPr>
              <w:t xml:space="preserve"> </w:t>
            </w:r>
            <w:r w:rsidRPr="006804F1">
              <w:t>High</w:t>
            </w:r>
            <w:r>
              <w:t xml:space="preserve">-poverty quartile minus </w:t>
            </w:r>
            <w:r w:rsidRPr="006804F1">
              <w:t>low</w:t>
            </w:r>
            <w:r>
              <w:t>-</w:t>
            </w:r>
            <w:r w:rsidRPr="006804F1">
              <w:t>poverty quartile</w:t>
            </w:r>
            <w:r w:rsidRPr="00F9321C">
              <w:rPr>
                <w:rFonts w:asciiTheme="majorHAnsi" w:hAnsiTheme="majorHAnsi"/>
              </w:rPr>
              <w:t xml:space="preserve"> </w:t>
            </w:r>
            <w:r w:rsidRPr="00F9321C">
              <w:rPr>
                <w:rStyle w:val="TableSubheadingChar"/>
              </w:rPr>
              <w:t>(row A</w:t>
            </w:r>
            <w:r w:rsidR="00F9321C" w:rsidRPr="00F9321C">
              <w:rPr>
                <w:rStyle w:val="TableSubheadingChar"/>
              </w:rPr>
              <w:t>–r</w:t>
            </w:r>
            <w:r w:rsidRPr="00F9321C">
              <w:rPr>
                <w:rStyle w:val="TableSubheadingChar"/>
              </w:rPr>
              <w:t>ow B)</w:t>
            </w:r>
          </w:p>
        </w:tc>
        <w:tc>
          <w:tcPr>
            <w:tcW w:w="2472" w:type="dxa"/>
            <w:shd w:val="clear" w:color="auto" w:fill="E7E6E6" w:themeFill="background2"/>
            <w:vAlign w:val="center"/>
          </w:tcPr>
          <w:p w14:paraId="7A50EEED" w14:textId="77777777" w:rsidR="00C83D65" w:rsidRDefault="00C83D65" w:rsidP="00541CF6">
            <w:pPr>
              <w:pStyle w:val="TableText14pt"/>
            </w:pPr>
          </w:p>
        </w:tc>
        <w:tc>
          <w:tcPr>
            <w:tcW w:w="2473" w:type="dxa"/>
            <w:shd w:val="clear" w:color="auto" w:fill="E7E6E6" w:themeFill="background2"/>
            <w:vAlign w:val="center"/>
          </w:tcPr>
          <w:p w14:paraId="0DEAFCB3" w14:textId="77777777" w:rsidR="00C83D65" w:rsidRDefault="00C83D65" w:rsidP="00541CF6">
            <w:pPr>
              <w:pStyle w:val="TableText14pt"/>
            </w:pPr>
          </w:p>
        </w:tc>
      </w:tr>
      <w:tr w:rsidR="00C83D65" w14:paraId="0423519E" w14:textId="77777777" w:rsidTr="00F9321C">
        <w:trPr>
          <w:trHeight w:val="395"/>
        </w:trPr>
        <w:tc>
          <w:tcPr>
            <w:tcW w:w="590" w:type="dxa"/>
            <w:vAlign w:val="center"/>
          </w:tcPr>
          <w:p w14:paraId="476108B4" w14:textId="77777777" w:rsidR="00C83D65" w:rsidRDefault="00C83D65" w:rsidP="00541CF6">
            <w:pPr>
              <w:pStyle w:val="TableSubheadingCentered"/>
            </w:pPr>
            <w:r>
              <w:t>D</w:t>
            </w:r>
          </w:p>
        </w:tc>
        <w:tc>
          <w:tcPr>
            <w:tcW w:w="3815" w:type="dxa"/>
            <w:vAlign w:val="center"/>
          </w:tcPr>
          <w:p w14:paraId="7097B77B" w14:textId="6CDD494B" w:rsidR="00C83D65" w:rsidRPr="00976F26" w:rsidRDefault="00C83D65" w:rsidP="005A35BA">
            <w:pPr>
              <w:pStyle w:val="TableText"/>
            </w:pPr>
            <w:r w:rsidRPr="00976F26">
              <w:t xml:space="preserve">State </w:t>
            </w:r>
            <w:proofErr w:type="spellStart"/>
            <w:r w:rsidRPr="00976F26">
              <w:t>average</w:t>
            </w:r>
            <w:r w:rsidR="005A35BA" w:rsidRPr="005A35BA">
              <w:rPr>
                <w:vertAlign w:val="superscript"/>
              </w:rPr>
              <w:t>a</w:t>
            </w:r>
            <w:proofErr w:type="spellEnd"/>
          </w:p>
        </w:tc>
        <w:tc>
          <w:tcPr>
            <w:tcW w:w="2472" w:type="dxa"/>
            <w:vAlign w:val="center"/>
          </w:tcPr>
          <w:p w14:paraId="0766DE93" w14:textId="77777777" w:rsidR="00C83D65" w:rsidRPr="00347774" w:rsidRDefault="00C83D65" w:rsidP="00541CF6">
            <w:pPr>
              <w:pStyle w:val="TableText14pt"/>
              <w:rPr>
                <w:sz w:val="32"/>
              </w:rPr>
            </w:pPr>
          </w:p>
        </w:tc>
        <w:tc>
          <w:tcPr>
            <w:tcW w:w="2473" w:type="dxa"/>
            <w:vAlign w:val="center"/>
          </w:tcPr>
          <w:p w14:paraId="10756EAB" w14:textId="77777777" w:rsidR="00C83D65" w:rsidRPr="00347774" w:rsidRDefault="00C83D65" w:rsidP="00541CF6">
            <w:pPr>
              <w:pStyle w:val="TableText14pt"/>
              <w:rPr>
                <w:sz w:val="32"/>
              </w:rPr>
            </w:pPr>
          </w:p>
        </w:tc>
      </w:tr>
      <w:tr w:rsidR="00C83D65" w14:paraId="3DCF6AA4" w14:textId="77777777" w:rsidTr="00CC368C">
        <w:trPr>
          <w:trHeight w:val="296"/>
        </w:trPr>
        <w:tc>
          <w:tcPr>
            <w:tcW w:w="590" w:type="dxa"/>
            <w:shd w:val="clear" w:color="auto" w:fill="E7E6E6" w:themeFill="background2"/>
            <w:vAlign w:val="center"/>
          </w:tcPr>
          <w:p w14:paraId="59FED66A" w14:textId="77777777" w:rsidR="00C83D65" w:rsidRDefault="00C83D65" w:rsidP="00541CF6">
            <w:pPr>
              <w:pStyle w:val="TableSubheadingCentered"/>
            </w:pPr>
            <w:r>
              <w:t>E</w:t>
            </w:r>
          </w:p>
        </w:tc>
        <w:tc>
          <w:tcPr>
            <w:tcW w:w="3815" w:type="dxa"/>
            <w:shd w:val="clear" w:color="auto" w:fill="E7E6E6" w:themeFill="background2"/>
            <w:vAlign w:val="center"/>
          </w:tcPr>
          <w:p w14:paraId="20748D4E" w14:textId="199129FA" w:rsidR="00C83D65" w:rsidRDefault="00C83D65" w:rsidP="00F9321C">
            <w:pPr>
              <w:pStyle w:val="TableText"/>
              <w:rPr>
                <w:b/>
              </w:rPr>
            </w:pPr>
            <w:r w:rsidRPr="00F9321C">
              <w:rPr>
                <w:rStyle w:val="TableSubheadingChar"/>
              </w:rPr>
              <w:t>State equity gap:</w:t>
            </w:r>
            <w:r>
              <w:rPr>
                <w:b/>
              </w:rPr>
              <w:t xml:space="preserve"> </w:t>
            </w:r>
            <w:r w:rsidRPr="006804F1">
              <w:t>High</w:t>
            </w:r>
            <w:r>
              <w:t xml:space="preserve">-poverty quartile minus state average </w:t>
            </w:r>
            <w:r w:rsidRPr="00F9321C">
              <w:rPr>
                <w:rStyle w:val="TableSubheadingChar"/>
              </w:rPr>
              <w:t>(row A</w:t>
            </w:r>
            <w:r w:rsidR="00F9321C">
              <w:rPr>
                <w:rStyle w:val="TableSubheadingChar"/>
              </w:rPr>
              <w:t>–</w:t>
            </w:r>
            <w:r w:rsidRPr="00F9321C">
              <w:rPr>
                <w:rStyle w:val="TableSubheadingChar"/>
              </w:rPr>
              <w:t xml:space="preserve">row D) </w:t>
            </w:r>
          </w:p>
        </w:tc>
        <w:tc>
          <w:tcPr>
            <w:tcW w:w="2472" w:type="dxa"/>
            <w:shd w:val="clear" w:color="auto" w:fill="E7E6E6" w:themeFill="background2"/>
            <w:vAlign w:val="center"/>
          </w:tcPr>
          <w:p w14:paraId="325DB949" w14:textId="77777777" w:rsidR="00C83D65" w:rsidRPr="00347774" w:rsidRDefault="00C83D65" w:rsidP="00541CF6">
            <w:pPr>
              <w:pStyle w:val="TableText14pt"/>
              <w:rPr>
                <w:sz w:val="32"/>
              </w:rPr>
            </w:pPr>
          </w:p>
        </w:tc>
        <w:tc>
          <w:tcPr>
            <w:tcW w:w="2473" w:type="dxa"/>
            <w:shd w:val="clear" w:color="auto" w:fill="E7E6E6" w:themeFill="background2"/>
            <w:vAlign w:val="center"/>
          </w:tcPr>
          <w:p w14:paraId="5099F817" w14:textId="77777777" w:rsidR="00C83D65" w:rsidRPr="00347774" w:rsidRDefault="00C83D65" w:rsidP="00541CF6">
            <w:pPr>
              <w:pStyle w:val="TableText14pt"/>
              <w:rPr>
                <w:sz w:val="32"/>
              </w:rPr>
            </w:pPr>
          </w:p>
        </w:tc>
      </w:tr>
      <w:tr w:rsidR="00C83D65" w14:paraId="4198B4BB" w14:textId="77777777" w:rsidTr="00CC368C">
        <w:trPr>
          <w:trHeight w:val="404"/>
        </w:trPr>
        <w:tc>
          <w:tcPr>
            <w:tcW w:w="9350" w:type="dxa"/>
            <w:gridSpan w:val="4"/>
            <w:shd w:val="clear" w:color="auto" w:fill="86BBE6" w:themeFill="accent1"/>
            <w:vAlign w:val="center"/>
          </w:tcPr>
          <w:p w14:paraId="593AD8B6" w14:textId="77777777" w:rsidR="00C83D65" w:rsidRDefault="00C83D65" w:rsidP="00541CF6">
            <w:pPr>
              <w:pStyle w:val="TableSubheading"/>
            </w:pPr>
            <w:r>
              <w:t>Equity Gap Calculations: Students of Color</w:t>
            </w:r>
          </w:p>
        </w:tc>
      </w:tr>
      <w:tr w:rsidR="00C83D65" w14:paraId="3E22EAE6" w14:textId="77777777" w:rsidTr="00F9321C">
        <w:trPr>
          <w:trHeight w:val="125"/>
        </w:trPr>
        <w:tc>
          <w:tcPr>
            <w:tcW w:w="590" w:type="dxa"/>
            <w:vAlign w:val="center"/>
          </w:tcPr>
          <w:p w14:paraId="1A5A3204" w14:textId="77777777" w:rsidR="00C83D65" w:rsidRDefault="00C83D65" w:rsidP="00541CF6">
            <w:pPr>
              <w:pStyle w:val="TableSubheadingCentered"/>
            </w:pPr>
            <w:r>
              <w:t>F</w:t>
            </w:r>
          </w:p>
        </w:tc>
        <w:tc>
          <w:tcPr>
            <w:tcW w:w="3815" w:type="dxa"/>
            <w:vAlign w:val="center"/>
          </w:tcPr>
          <w:p w14:paraId="113D9341" w14:textId="77777777" w:rsidR="00C83D65" w:rsidRDefault="00C83D65" w:rsidP="00541CF6">
            <w:pPr>
              <w:pStyle w:val="TableText"/>
            </w:pPr>
            <w:r>
              <w:t>High-minority quartile</w:t>
            </w:r>
          </w:p>
        </w:tc>
        <w:tc>
          <w:tcPr>
            <w:tcW w:w="2472" w:type="dxa"/>
            <w:vAlign w:val="center"/>
          </w:tcPr>
          <w:p w14:paraId="0246E940" w14:textId="77777777" w:rsidR="00C83D65" w:rsidRPr="00AE5108" w:rsidRDefault="00C83D65" w:rsidP="00541CF6">
            <w:pPr>
              <w:pStyle w:val="TableText14pt"/>
            </w:pPr>
          </w:p>
        </w:tc>
        <w:tc>
          <w:tcPr>
            <w:tcW w:w="2473" w:type="dxa"/>
            <w:vAlign w:val="center"/>
          </w:tcPr>
          <w:p w14:paraId="756EFE69" w14:textId="77777777" w:rsidR="00C83D65" w:rsidRDefault="00C83D65" w:rsidP="00541CF6">
            <w:pPr>
              <w:pStyle w:val="TableText14pt"/>
            </w:pPr>
          </w:p>
        </w:tc>
      </w:tr>
      <w:tr w:rsidR="00C83D65" w14:paraId="3F77CD56" w14:textId="77777777" w:rsidTr="00F9321C">
        <w:trPr>
          <w:trHeight w:val="278"/>
        </w:trPr>
        <w:tc>
          <w:tcPr>
            <w:tcW w:w="590" w:type="dxa"/>
            <w:vAlign w:val="center"/>
          </w:tcPr>
          <w:p w14:paraId="5C9A418F" w14:textId="77777777" w:rsidR="00C83D65" w:rsidRDefault="00C83D65" w:rsidP="00541CF6">
            <w:pPr>
              <w:pStyle w:val="TableSubheadingCentered"/>
            </w:pPr>
            <w:r>
              <w:t>G</w:t>
            </w:r>
          </w:p>
        </w:tc>
        <w:tc>
          <w:tcPr>
            <w:tcW w:w="3815" w:type="dxa"/>
            <w:vAlign w:val="center"/>
          </w:tcPr>
          <w:p w14:paraId="24D1FA25" w14:textId="77777777" w:rsidR="00C83D65" w:rsidRDefault="00C83D65" w:rsidP="00541CF6">
            <w:pPr>
              <w:pStyle w:val="TableText"/>
            </w:pPr>
            <w:r>
              <w:t>Low-minority quartile</w:t>
            </w:r>
          </w:p>
        </w:tc>
        <w:tc>
          <w:tcPr>
            <w:tcW w:w="2472" w:type="dxa"/>
            <w:vAlign w:val="center"/>
          </w:tcPr>
          <w:p w14:paraId="26762633" w14:textId="77777777" w:rsidR="00C83D65" w:rsidRDefault="00C83D65" w:rsidP="00541CF6">
            <w:pPr>
              <w:pStyle w:val="TableText14pt"/>
            </w:pPr>
          </w:p>
        </w:tc>
        <w:tc>
          <w:tcPr>
            <w:tcW w:w="2473" w:type="dxa"/>
            <w:vAlign w:val="center"/>
          </w:tcPr>
          <w:p w14:paraId="1DA43451" w14:textId="77777777" w:rsidR="00C83D65" w:rsidRDefault="00C83D65" w:rsidP="00541CF6">
            <w:pPr>
              <w:pStyle w:val="TableText14pt"/>
            </w:pPr>
          </w:p>
        </w:tc>
      </w:tr>
      <w:tr w:rsidR="00C83D65" w14:paraId="3D05359B" w14:textId="77777777" w:rsidTr="00CC368C">
        <w:trPr>
          <w:trHeight w:val="404"/>
        </w:trPr>
        <w:tc>
          <w:tcPr>
            <w:tcW w:w="590" w:type="dxa"/>
            <w:shd w:val="clear" w:color="auto" w:fill="E6F1FA" w:themeFill="accent1" w:themeFillTint="33"/>
            <w:vAlign w:val="center"/>
          </w:tcPr>
          <w:p w14:paraId="720D21C6" w14:textId="77777777" w:rsidR="00C83D65" w:rsidRDefault="00C83D65" w:rsidP="00541CF6">
            <w:pPr>
              <w:pStyle w:val="TableSubheadingCentered"/>
            </w:pPr>
            <w:r>
              <w:t>H</w:t>
            </w:r>
          </w:p>
        </w:tc>
        <w:tc>
          <w:tcPr>
            <w:tcW w:w="3815" w:type="dxa"/>
            <w:shd w:val="clear" w:color="auto" w:fill="E6F1FA" w:themeFill="accent1" w:themeFillTint="33"/>
            <w:vAlign w:val="center"/>
          </w:tcPr>
          <w:p w14:paraId="7CD59858" w14:textId="6D5B8638" w:rsidR="00C83D65" w:rsidRDefault="00C83D65" w:rsidP="00F9321C">
            <w:pPr>
              <w:pStyle w:val="TableText"/>
            </w:pPr>
            <w:r w:rsidRPr="00F9321C">
              <w:rPr>
                <w:rStyle w:val="TableSubheadingChar"/>
              </w:rPr>
              <w:t>District equity gap:</w:t>
            </w:r>
            <w:r>
              <w:rPr>
                <w:b/>
              </w:rPr>
              <w:t xml:space="preserve"> </w:t>
            </w:r>
            <w:r w:rsidRPr="006804F1">
              <w:t>High</w:t>
            </w:r>
            <w:r>
              <w:t xml:space="preserve">-minority quartile minus </w:t>
            </w:r>
            <w:r w:rsidRPr="006804F1">
              <w:t>low</w:t>
            </w:r>
            <w:r>
              <w:t>-minority</w:t>
            </w:r>
            <w:r w:rsidRPr="006804F1">
              <w:t xml:space="preserve"> quartile</w:t>
            </w:r>
            <w:r>
              <w:t xml:space="preserve"> </w:t>
            </w:r>
            <w:r w:rsidRPr="00F9321C">
              <w:rPr>
                <w:rStyle w:val="TableSubheadingChar"/>
              </w:rPr>
              <w:t>(row F</w:t>
            </w:r>
            <w:r w:rsidR="00F9321C">
              <w:rPr>
                <w:rStyle w:val="TableSubheadingChar"/>
              </w:rPr>
              <w:t>–</w:t>
            </w:r>
            <w:r w:rsidRPr="00F9321C">
              <w:rPr>
                <w:rStyle w:val="TableSubheadingChar"/>
              </w:rPr>
              <w:t>row G)</w:t>
            </w:r>
          </w:p>
        </w:tc>
        <w:tc>
          <w:tcPr>
            <w:tcW w:w="2472" w:type="dxa"/>
            <w:shd w:val="clear" w:color="auto" w:fill="E6F1FA" w:themeFill="accent1" w:themeFillTint="33"/>
            <w:vAlign w:val="center"/>
          </w:tcPr>
          <w:p w14:paraId="29426C12" w14:textId="77777777" w:rsidR="00C83D65" w:rsidRDefault="00C83D65" w:rsidP="00541CF6">
            <w:pPr>
              <w:pStyle w:val="TableText14pt"/>
            </w:pPr>
          </w:p>
        </w:tc>
        <w:tc>
          <w:tcPr>
            <w:tcW w:w="2473" w:type="dxa"/>
            <w:shd w:val="clear" w:color="auto" w:fill="E6F1FA" w:themeFill="accent1" w:themeFillTint="33"/>
            <w:vAlign w:val="center"/>
          </w:tcPr>
          <w:p w14:paraId="7438AB01" w14:textId="77777777" w:rsidR="00C83D65" w:rsidRDefault="00C83D65" w:rsidP="00541CF6">
            <w:pPr>
              <w:pStyle w:val="TableText14pt"/>
            </w:pPr>
          </w:p>
        </w:tc>
      </w:tr>
      <w:tr w:rsidR="00C83D65" w:rsidRPr="00AE5108" w14:paraId="240DDBE9" w14:textId="77777777" w:rsidTr="00CC368C">
        <w:trPr>
          <w:trHeight w:val="602"/>
        </w:trPr>
        <w:tc>
          <w:tcPr>
            <w:tcW w:w="590" w:type="dxa"/>
            <w:shd w:val="clear" w:color="auto" w:fill="E6F1FA" w:themeFill="accent1" w:themeFillTint="33"/>
            <w:vAlign w:val="center"/>
          </w:tcPr>
          <w:p w14:paraId="0BE6590C" w14:textId="77777777" w:rsidR="00C83D65" w:rsidRPr="00AE5108" w:rsidRDefault="00C83D65" w:rsidP="00541CF6">
            <w:pPr>
              <w:pStyle w:val="TableSubheadingCentered"/>
            </w:pPr>
            <w:r>
              <w:t>I</w:t>
            </w:r>
          </w:p>
        </w:tc>
        <w:tc>
          <w:tcPr>
            <w:tcW w:w="3815" w:type="dxa"/>
            <w:shd w:val="clear" w:color="auto" w:fill="E6F1FA" w:themeFill="accent1" w:themeFillTint="33"/>
            <w:vAlign w:val="center"/>
          </w:tcPr>
          <w:p w14:paraId="1EF2DDC1" w14:textId="2CE5C88C" w:rsidR="00C83D65" w:rsidRPr="00976F26" w:rsidRDefault="00C83D65" w:rsidP="00F9321C">
            <w:pPr>
              <w:pStyle w:val="TableText"/>
            </w:pPr>
            <w:r w:rsidRPr="00F9321C">
              <w:rPr>
                <w:rStyle w:val="TableSubheadingChar"/>
              </w:rPr>
              <w:t>State equity gap:</w:t>
            </w:r>
            <w:r>
              <w:t xml:space="preserve"> High-minority quartile minus state average</w:t>
            </w:r>
            <w:r w:rsidRPr="00F9321C">
              <w:rPr>
                <w:rStyle w:val="TableSubheadingChar"/>
              </w:rPr>
              <w:t xml:space="preserve"> (row F</w:t>
            </w:r>
            <w:r w:rsidR="00F9321C">
              <w:rPr>
                <w:rStyle w:val="TableSubheadingChar"/>
              </w:rPr>
              <w:t>–</w:t>
            </w:r>
            <w:r w:rsidRPr="00F9321C">
              <w:rPr>
                <w:rStyle w:val="TableSubheadingChar"/>
              </w:rPr>
              <w:t>row D)</w:t>
            </w:r>
          </w:p>
        </w:tc>
        <w:tc>
          <w:tcPr>
            <w:tcW w:w="2472" w:type="dxa"/>
            <w:shd w:val="clear" w:color="auto" w:fill="E6F1FA" w:themeFill="accent1" w:themeFillTint="33"/>
            <w:vAlign w:val="center"/>
          </w:tcPr>
          <w:p w14:paraId="6631F806" w14:textId="77777777" w:rsidR="00C83D65" w:rsidRPr="00AE5108" w:rsidRDefault="00C83D65" w:rsidP="00541CF6">
            <w:pPr>
              <w:pStyle w:val="TableText14pt"/>
              <w:rPr>
                <w:b/>
              </w:rPr>
            </w:pPr>
          </w:p>
        </w:tc>
        <w:tc>
          <w:tcPr>
            <w:tcW w:w="2473" w:type="dxa"/>
            <w:shd w:val="clear" w:color="auto" w:fill="E6F1FA" w:themeFill="accent1" w:themeFillTint="33"/>
            <w:vAlign w:val="center"/>
          </w:tcPr>
          <w:p w14:paraId="2604DFE3" w14:textId="77777777" w:rsidR="00C83D65" w:rsidRPr="00F44233" w:rsidDel="007721EA" w:rsidRDefault="00C83D65" w:rsidP="00541CF6">
            <w:pPr>
              <w:pStyle w:val="TableText14pt"/>
              <w:rPr>
                <w:sz w:val="32"/>
              </w:rPr>
            </w:pPr>
          </w:p>
        </w:tc>
      </w:tr>
    </w:tbl>
    <w:p w14:paraId="7F7540FC" w14:textId="735B2810" w:rsidR="00C83D65" w:rsidRDefault="005A35BA" w:rsidP="00117362">
      <w:pPr>
        <w:pStyle w:val="TableNote"/>
      </w:pPr>
      <w:proofErr w:type="gramStart"/>
      <w:r w:rsidRPr="005A35BA">
        <w:rPr>
          <w:vertAlign w:val="superscript"/>
        </w:rPr>
        <w:t>a</w:t>
      </w:r>
      <w:proofErr w:type="gramEnd"/>
      <w:r>
        <w:t xml:space="preserve"> </w:t>
      </w:r>
      <w:r w:rsidR="00C83D65">
        <w:t xml:space="preserve">State averages for inexperienced and out-of-field teachers are available and updated annually on the TEA Equity Toolkit </w:t>
      </w:r>
      <w:hyperlink r:id="rId17" w:history="1">
        <w:r w:rsidR="00C83D65" w:rsidRPr="00F15578">
          <w:rPr>
            <w:rStyle w:val="Hyperlink"/>
          </w:rPr>
          <w:t>website</w:t>
        </w:r>
      </w:hyperlink>
      <w:r w:rsidR="00C83D65">
        <w:t>.</w:t>
      </w:r>
    </w:p>
    <w:p w14:paraId="77956C4B" w14:textId="3163A6A8" w:rsidR="000F64BB" w:rsidRDefault="00CC368C" w:rsidP="00F9321C">
      <w:pPr>
        <w:pStyle w:val="TableTitle"/>
        <w:spacing w:before="360"/>
      </w:pPr>
      <w:r>
        <w:t>Table B. Districts w</w:t>
      </w:r>
      <w:r w:rsidR="000F64BB">
        <w:t>ith Three or Fewer Campuses—Reporting Template for Calculating Equity Gaps for Inexperienced and Out-of-Field Teachers</w:t>
      </w:r>
    </w:p>
    <w:tbl>
      <w:tblPr>
        <w:tblStyle w:val="TexasToolkittable1"/>
        <w:tblW w:w="5000" w:type="pct"/>
        <w:tblLook w:val="0620" w:firstRow="1" w:lastRow="0" w:firstColumn="0" w:lastColumn="0" w:noHBand="1" w:noVBand="1"/>
      </w:tblPr>
      <w:tblGrid>
        <w:gridCol w:w="924"/>
        <w:gridCol w:w="2577"/>
        <w:gridCol w:w="2928"/>
        <w:gridCol w:w="2921"/>
      </w:tblGrid>
      <w:tr w:rsidR="001A0C59" w14:paraId="278FA73F" w14:textId="77777777" w:rsidTr="00C57BE4">
        <w:trPr>
          <w:cnfStyle w:val="100000000000" w:firstRow="1" w:lastRow="0" w:firstColumn="0" w:lastColumn="0" w:oddVBand="0" w:evenVBand="0" w:oddHBand="0" w:evenHBand="0" w:firstRowFirstColumn="0" w:firstRowLastColumn="0" w:lastRowFirstColumn="0" w:lastRowLastColumn="0"/>
          <w:tblHeader/>
        </w:trPr>
        <w:tc>
          <w:tcPr>
            <w:tcW w:w="924" w:type="dxa"/>
          </w:tcPr>
          <w:p w14:paraId="3A687182" w14:textId="77777777" w:rsidR="001A0C59" w:rsidRPr="00464E00" w:rsidRDefault="001A0C59" w:rsidP="003F7F1D">
            <w:pPr>
              <w:pStyle w:val="TableColumnHeadingCenter"/>
            </w:pPr>
          </w:p>
        </w:tc>
        <w:tc>
          <w:tcPr>
            <w:tcW w:w="2577" w:type="dxa"/>
          </w:tcPr>
          <w:p w14:paraId="53D7503B" w14:textId="77777777" w:rsidR="001A0C59" w:rsidRDefault="001A0C59" w:rsidP="003F7F1D">
            <w:pPr>
              <w:pStyle w:val="TableColumnHeadingCenter"/>
            </w:pPr>
          </w:p>
        </w:tc>
        <w:tc>
          <w:tcPr>
            <w:tcW w:w="5849" w:type="dxa"/>
            <w:gridSpan w:val="2"/>
            <w:tcBorders>
              <w:bottom w:val="single" w:sz="6" w:space="0" w:color="FFFFFF" w:themeColor="background1"/>
            </w:tcBorders>
          </w:tcPr>
          <w:p w14:paraId="062DD6A2" w14:textId="77777777" w:rsidR="001A0C59" w:rsidRDefault="001A0C59" w:rsidP="003F7F1D">
            <w:pPr>
              <w:pStyle w:val="TableColumnHeadingCenter"/>
            </w:pPr>
            <w:r>
              <w:t>Percentages of:</w:t>
            </w:r>
          </w:p>
        </w:tc>
      </w:tr>
      <w:tr w:rsidR="001A0C59" w14:paraId="2ACBB41A" w14:textId="77777777" w:rsidTr="00C57BE4">
        <w:trPr>
          <w:cnfStyle w:val="100000000000" w:firstRow="1" w:lastRow="0" w:firstColumn="0" w:lastColumn="0" w:oddVBand="0" w:evenVBand="0" w:oddHBand="0" w:evenHBand="0" w:firstRowFirstColumn="0" w:firstRowLastColumn="0" w:lastRowFirstColumn="0" w:lastRowLastColumn="0"/>
          <w:tblHeader/>
        </w:trPr>
        <w:tc>
          <w:tcPr>
            <w:tcW w:w="924" w:type="dxa"/>
          </w:tcPr>
          <w:p w14:paraId="4D0FDDAC" w14:textId="77777777" w:rsidR="001A0C59" w:rsidRPr="00464E00" w:rsidRDefault="001A0C59" w:rsidP="003F7F1D">
            <w:pPr>
              <w:pStyle w:val="TableColumnHeadingCenter"/>
            </w:pPr>
            <w:r w:rsidRPr="00464E00">
              <w:t>R</w:t>
            </w:r>
            <w:r>
              <w:t>ow</w:t>
            </w:r>
          </w:p>
        </w:tc>
        <w:tc>
          <w:tcPr>
            <w:tcW w:w="2577" w:type="dxa"/>
          </w:tcPr>
          <w:p w14:paraId="74B7FBC1" w14:textId="77777777" w:rsidR="001A0C59" w:rsidRDefault="001A0C59" w:rsidP="003F7F1D">
            <w:pPr>
              <w:pStyle w:val="TableColumnHeadingCenter"/>
            </w:pPr>
            <w:r>
              <w:t>Comparison</w:t>
            </w:r>
          </w:p>
        </w:tc>
        <w:tc>
          <w:tcPr>
            <w:tcW w:w="2928" w:type="dxa"/>
            <w:tcBorders>
              <w:top w:val="single" w:sz="6" w:space="0" w:color="FFFFFF" w:themeColor="background1"/>
            </w:tcBorders>
          </w:tcPr>
          <w:p w14:paraId="51420702" w14:textId="77777777" w:rsidR="001A0C59" w:rsidRPr="00464E00" w:rsidRDefault="001A0C59" w:rsidP="003F7F1D">
            <w:pPr>
              <w:pStyle w:val="TableColumnHeadingCenter"/>
            </w:pPr>
            <w:r>
              <w:t>Ine</w:t>
            </w:r>
            <w:r w:rsidRPr="00464E00">
              <w:t>xperienced Teachers</w:t>
            </w:r>
          </w:p>
        </w:tc>
        <w:tc>
          <w:tcPr>
            <w:tcW w:w="2921" w:type="dxa"/>
            <w:tcBorders>
              <w:top w:val="single" w:sz="6" w:space="0" w:color="FFFFFF" w:themeColor="background1"/>
            </w:tcBorders>
          </w:tcPr>
          <w:p w14:paraId="6D13C724" w14:textId="77777777" w:rsidR="001A0C59" w:rsidRDefault="001A0C59" w:rsidP="003F7F1D">
            <w:pPr>
              <w:pStyle w:val="TableColumnHeadingCenter"/>
            </w:pPr>
            <w:r>
              <w:t>Out-of</w:t>
            </w:r>
            <w:r w:rsidRPr="00464E00">
              <w:t>-Field Teachers</w:t>
            </w:r>
          </w:p>
        </w:tc>
      </w:tr>
      <w:tr w:rsidR="00C57BE4" w14:paraId="23F40AA1" w14:textId="77777777" w:rsidTr="007B7FB9">
        <w:trPr>
          <w:trHeight w:val="431"/>
        </w:trPr>
        <w:tc>
          <w:tcPr>
            <w:tcW w:w="924" w:type="dxa"/>
            <w:vAlign w:val="center"/>
          </w:tcPr>
          <w:p w14:paraId="63C92561" w14:textId="77777777" w:rsidR="00C57BE4" w:rsidRPr="00464E00" w:rsidRDefault="00C57BE4" w:rsidP="00C57BE4">
            <w:pPr>
              <w:pStyle w:val="TableSubheadingCentered"/>
            </w:pPr>
            <w:r>
              <w:t>A</w:t>
            </w:r>
          </w:p>
        </w:tc>
        <w:tc>
          <w:tcPr>
            <w:tcW w:w="2577" w:type="dxa"/>
          </w:tcPr>
          <w:p w14:paraId="36ABF592" w14:textId="0E6B2B50" w:rsidR="00C57BE4" w:rsidRDefault="00C57BE4" w:rsidP="00C57BE4">
            <w:pPr>
              <w:pStyle w:val="TableText"/>
            </w:pPr>
            <w:r>
              <w:t>Percentage of teachers in the Title I campus</w:t>
            </w:r>
          </w:p>
        </w:tc>
        <w:tc>
          <w:tcPr>
            <w:tcW w:w="2928" w:type="dxa"/>
            <w:vAlign w:val="center"/>
          </w:tcPr>
          <w:p w14:paraId="7DF8BB20" w14:textId="77777777" w:rsidR="00C57BE4" w:rsidRPr="00AE5108" w:rsidRDefault="00C57BE4" w:rsidP="00117362">
            <w:pPr>
              <w:pStyle w:val="TableTextCentered"/>
            </w:pPr>
          </w:p>
        </w:tc>
        <w:tc>
          <w:tcPr>
            <w:tcW w:w="2921" w:type="dxa"/>
            <w:vAlign w:val="center"/>
          </w:tcPr>
          <w:p w14:paraId="4A2FB9B4" w14:textId="77777777" w:rsidR="00C57BE4" w:rsidRDefault="00C57BE4" w:rsidP="00117362">
            <w:pPr>
              <w:pStyle w:val="TableTextCentered"/>
            </w:pPr>
          </w:p>
        </w:tc>
      </w:tr>
      <w:tr w:rsidR="00C57BE4" w14:paraId="7C3544A1" w14:textId="77777777" w:rsidTr="007B7FB9">
        <w:trPr>
          <w:trHeight w:val="575"/>
        </w:trPr>
        <w:tc>
          <w:tcPr>
            <w:tcW w:w="924" w:type="dxa"/>
            <w:vAlign w:val="center"/>
          </w:tcPr>
          <w:p w14:paraId="64488CF7" w14:textId="77777777" w:rsidR="00C57BE4" w:rsidRPr="00464E00" w:rsidRDefault="00C57BE4" w:rsidP="00117362">
            <w:pPr>
              <w:pStyle w:val="TableSubheadingCentered"/>
            </w:pPr>
            <w:r>
              <w:t>B</w:t>
            </w:r>
          </w:p>
        </w:tc>
        <w:tc>
          <w:tcPr>
            <w:tcW w:w="2577" w:type="dxa"/>
            <w:vAlign w:val="center"/>
          </w:tcPr>
          <w:p w14:paraId="4E54CEB3" w14:textId="2C883100" w:rsidR="00C57BE4" w:rsidRDefault="00C57BE4" w:rsidP="00117362">
            <w:pPr>
              <w:pStyle w:val="TableText"/>
            </w:pPr>
            <w:r>
              <w:t xml:space="preserve">State </w:t>
            </w:r>
            <w:proofErr w:type="spellStart"/>
            <w:r>
              <w:t>average</w:t>
            </w:r>
            <w:r w:rsidR="001B2576" w:rsidRPr="001B2576">
              <w:rPr>
                <w:vertAlign w:val="superscript"/>
              </w:rPr>
              <w:t>a</w:t>
            </w:r>
            <w:proofErr w:type="spellEnd"/>
            <w:r w:rsidDel="0085266B">
              <w:t xml:space="preserve"> </w:t>
            </w:r>
          </w:p>
        </w:tc>
        <w:tc>
          <w:tcPr>
            <w:tcW w:w="2928" w:type="dxa"/>
            <w:vAlign w:val="center"/>
          </w:tcPr>
          <w:p w14:paraId="268A833E" w14:textId="77777777" w:rsidR="00C57BE4" w:rsidRDefault="00C57BE4" w:rsidP="00117362">
            <w:pPr>
              <w:pStyle w:val="TableTextCentered"/>
            </w:pPr>
          </w:p>
        </w:tc>
        <w:tc>
          <w:tcPr>
            <w:tcW w:w="2921" w:type="dxa"/>
            <w:vAlign w:val="center"/>
          </w:tcPr>
          <w:p w14:paraId="2AD9AFAD" w14:textId="77777777" w:rsidR="00C57BE4" w:rsidRDefault="00C57BE4" w:rsidP="00117362">
            <w:pPr>
              <w:pStyle w:val="TableTextCentered"/>
            </w:pPr>
          </w:p>
        </w:tc>
      </w:tr>
      <w:tr w:rsidR="009978D1" w14:paraId="394A1C83" w14:textId="77777777" w:rsidTr="00C57BE4">
        <w:trPr>
          <w:trHeight w:val="197"/>
        </w:trPr>
        <w:tc>
          <w:tcPr>
            <w:tcW w:w="924" w:type="dxa"/>
            <w:vAlign w:val="center"/>
          </w:tcPr>
          <w:p w14:paraId="2296CAF4" w14:textId="77777777" w:rsidR="009978D1" w:rsidRPr="00464E00" w:rsidRDefault="009978D1" w:rsidP="003F7F1D">
            <w:pPr>
              <w:pStyle w:val="TableSubheadingCentered"/>
            </w:pPr>
            <w:r>
              <w:t>C</w:t>
            </w:r>
          </w:p>
        </w:tc>
        <w:tc>
          <w:tcPr>
            <w:tcW w:w="2577" w:type="dxa"/>
            <w:vAlign w:val="center"/>
          </w:tcPr>
          <w:p w14:paraId="0DF4ACDD" w14:textId="78B95ED0" w:rsidR="009978D1" w:rsidRDefault="009978D1" w:rsidP="003F7F1D">
            <w:pPr>
              <w:pStyle w:val="TableSubheading"/>
            </w:pPr>
            <w:r>
              <w:rPr>
                <w:b/>
              </w:rPr>
              <w:t xml:space="preserve">State equity gap: </w:t>
            </w:r>
            <w:r>
              <w:t xml:space="preserve">Title 1 campus minus state average </w:t>
            </w:r>
            <w:r>
              <w:rPr>
                <w:b/>
              </w:rPr>
              <w:t>(row A – row B)</w:t>
            </w:r>
            <w:r>
              <w:t xml:space="preserve"> </w:t>
            </w:r>
          </w:p>
        </w:tc>
        <w:tc>
          <w:tcPr>
            <w:tcW w:w="2928" w:type="dxa"/>
            <w:vAlign w:val="center"/>
          </w:tcPr>
          <w:p w14:paraId="7E9852ED" w14:textId="77777777" w:rsidR="009978D1" w:rsidRPr="00C85A9A" w:rsidRDefault="009978D1" w:rsidP="00117362">
            <w:pPr>
              <w:pStyle w:val="TableTextCentered"/>
            </w:pPr>
          </w:p>
        </w:tc>
        <w:tc>
          <w:tcPr>
            <w:tcW w:w="2921" w:type="dxa"/>
            <w:vAlign w:val="center"/>
          </w:tcPr>
          <w:p w14:paraId="34B25A97" w14:textId="77777777" w:rsidR="009978D1" w:rsidRPr="00C85A9A" w:rsidRDefault="009978D1" w:rsidP="00117362">
            <w:pPr>
              <w:pStyle w:val="TableTextCentered"/>
            </w:pPr>
          </w:p>
        </w:tc>
      </w:tr>
    </w:tbl>
    <w:p w14:paraId="68D30ECF" w14:textId="360EA362" w:rsidR="00C83D65" w:rsidRDefault="001B2576" w:rsidP="00117362">
      <w:pPr>
        <w:pStyle w:val="TableNote"/>
      </w:pPr>
      <w:proofErr w:type="gramStart"/>
      <w:r w:rsidRPr="001B2576">
        <w:rPr>
          <w:vertAlign w:val="superscript"/>
        </w:rPr>
        <w:t>a</w:t>
      </w:r>
      <w:proofErr w:type="gramEnd"/>
      <w:r>
        <w:rPr>
          <w:vertAlign w:val="superscript"/>
        </w:rPr>
        <w:t xml:space="preserve"> </w:t>
      </w:r>
      <w:r w:rsidR="00C83D65">
        <w:t xml:space="preserve">State averages for inexperienced and out-of-field teachers are available and updated annually on the TEA Equity Toolkit </w:t>
      </w:r>
      <w:hyperlink r:id="rId18" w:history="1">
        <w:r w:rsidR="00C83D65" w:rsidRPr="00F15578">
          <w:rPr>
            <w:rStyle w:val="Hyperlink"/>
          </w:rPr>
          <w:t>website</w:t>
        </w:r>
      </w:hyperlink>
      <w:r w:rsidR="00C83D65">
        <w:t>.</w:t>
      </w:r>
    </w:p>
    <w:p w14:paraId="6B349645" w14:textId="77777777" w:rsidR="000F64BB" w:rsidRDefault="000F64BB" w:rsidP="00850E53">
      <w:pPr>
        <w:pStyle w:val="Heading3"/>
      </w:pPr>
      <w:r>
        <w:br w:type="page"/>
      </w:r>
    </w:p>
    <w:p w14:paraId="5B75B63F" w14:textId="77777777" w:rsidR="000F64BB" w:rsidRDefault="000F64BB" w:rsidP="00850E53">
      <w:pPr>
        <w:pStyle w:val="Heading3"/>
      </w:pPr>
      <w:r>
        <w:lastRenderedPageBreak/>
        <w:t>What is your district’s definition of effective teaching?</w:t>
      </w:r>
    </w:p>
    <w:p w14:paraId="4DDD7F5B" w14:textId="77777777" w:rsidR="000F64BB" w:rsidRDefault="000F64BB" w:rsidP="001A0C59">
      <w:pPr>
        <w:pStyle w:val="BodyTextposthead"/>
      </w:pPr>
      <w:r w:rsidRPr="0088272F">
        <w:t>In the field</w:t>
      </w:r>
      <w:r>
        <w:t>s</w:t>
      </w:r>
      <w:r w:rsidRPr="0088272F">
        <w:t xml:space="preserve"> below, record the definition</w:t>
      </w:r>
      <w:r>
        <w:t>s</w:t>
      </w:r>
      <w:r w:rsidRPr="0088272F">
        <w:t xml:space="preserve"> of effective teach</w:t>
      </w:r>
      <w:r>
        <w:t>ing</w:t>
      </w:r>
      <w:r w:rsidRPr="0088272F">
        <w:t xml:space="preserve"> </w:t>
      </w:r>
      <w:r>
        <w:t xml:space="preserve">according to the three categories included in the </w:t>
      </w:r>
      <w:r w:rsidR="00EC60BF">
        <w:t>t</w:t>
      </w:r>
      <w:r>
        <w:t>able. Provide a description of your rationale for these three definition</w:t>
      </w:r>
      <w:r w:rsidR="00EC60BF">
        <w:t>s</w:t>
      </w:r>
      <w:r>
        <w:t>.</w:t>
      </w:r>
    </w:p>
    <w:p w14:paraId="456B9230" w14:textId="77777777" w:rsidR="000F64BB" w:rsidRDefault="000F64BB" w:rsidP="001A0C59">
      <w:pPr>
        <w:pStyle w:val="TableTitle"/>
      </w:pPr>
      <w:r>
        <w:t xml:space="preserve">Our District’s Definition of Effective Teaching: </w:t>
      </w:r>
    </w:p>
    <w:tbl>
      <w:tblPr>
        <w:tblStyle w:val="TexasToolkittable1"/>
        <w:tblW w:w="0" w:type="auto"/>
        <w:tblLook w:val="0620" w:firstRow="1" w:lastRow="0" w:firstColumn="0" w:lastColumn="0" w:noHBand="1" w:noVBand="1"/>
      </w:tblPr>
      <w:tblGrid>
        <w:gridCol w:w="3116"/>
        <w:gridCol w:w="3117"/>
        <w:gridCol w:w="3117"/>
      </w:tblGrid>
      <w:tr w:rsidR="001A0C59" w14:paraId="5D4D6EF2" w14:textId="77777777" w:rsidTr="003F7F1D">
        <w:trPr>
          <w:cnfStyle w:val="100000000000" w:firstRow="1" w:lastRow="0" w:firstColumn="0" w:lastColumn="0" w:oddVBand="0" w:evenVBand="0" w:oddHBand="0" w:evenHBand="0" w:firstRowFirstColumn="0" w:firstRowLastColumn="0" w:lastRowFirstColumn="0" w:lastRowLastColumn="0"/>
          <w:trHeight w:val="305"/>
        </w:trPr>
        <w:tc>
          <w:tcPr>
            <w:tcW w:w="3116" w:type="dxa"/>
          </w:tcPr>
          <w:p w14:paraId="4AD403E5" w14:textId="77777777" w:rsidR="001A0C59" w:rsidRPr="00C874BB" w:rsidRDefault="001A0C59" w:rsidP="003F7F1D">
            <w:pPr>
              <w:pStyle w:val="TableColumnHeadingCenter"/>
            </w:pPr>
            <w:r w:rsidRPr="00C874BB">
              <w:t>Teaching Performance</w:t>
            </w:r>
          </w:p>
        </w:tc>
        <w:tc>
          <w:tcPr>
            <w:tcW w:w="3117" w:type="dxa"/>
          </w:tcPr>
          <w:p w14:paraId="42A63478" w14:textId="77777777" w:rsidR="001A0C59" w:rsidRPr="00C874BB" w:rsidRDefault="001A0C59" w:rsidP="003F7F1D">
            <w:pPr>
              <w:pStyle w:val="TableColumnHeadingCenter"/>
            </w:pPr>
            <w:r w:rsidRPr="00C874BB">
              <w:t>Student Learning</w:t>
            </w:r>
          </w:p>
        </w:tc>
        <w:tc>
          <w:tcPr>
            <w:tcW w:w="3117" w:type="dxa"/>
          </w:tcPr>
          <w:p w14:paraId="7D37B5FC" w14:textId="77777777" w:rsidR="001A0C59" w:rsidRPr="00C874BB" w:rsidRDefault="001A0C59" w:rsidP="003F7F1D">
            <w:pPr>
              <w:pStyle w:val="TableColumnHeadingCenter"/>
            </w:pPr>
            <w:r w:rsidRPr="00C874BB">
              <w:t>Student Engagement</w:t>
            </w:r>
          </w:p>
        </w:tc>
      </w:tr>
      <w:tr w:rsidR="001A0C59" w14:paraId="6C37DECF" w14:textId="77777777" w:rsidTr="003F7F1D">
        <w:trPr>
          <w:trHeight w:val="503"/>
        </w:trPr>
        <w:tc>
          <w:tcPr>
            <w:tcW w:w="3116" w:type="dxa"/>
            <w:shd w:val="clear" w:color="auto" w:fill="CEE3F5" w:themeFill="accent1" w:themeFillTint="66"/>
          </w:tcPr>
          <w:p w14:paraId="7EA6110D" w14:textId="77777777" w:rsidR="001A0C59" w:rsidRPr="00FB4129" w:rsidRDefault="001A0C59" w:rsidP="003F7F1D">
            <w:pPr>
              <w:pStyle w:val="TableTextMediumItalic"/>
            </w:pPr>
            <w:r w:rsidRPr="00FB4129">
              <w:t>Selected data to measure teaching performance:</w:t>
            </w:r>
          </w:p>
        </w:tc>
        <w:tc>
          <w:tcPr>
            <w:tcW w:w="3117" w:type="dxa"/>
            <w:shd w:val="clear" w:color="auto" w:fill="CEE3F5" w:themeFill="accent1" w:themeFillTint="66"/>
          </w:tcPr>
          <w:p w14:paraId="43E92971" w14:textId="77777777" w:rsidR="001A0C59" w:rsidRPr="00FB4129" w:rsidRDefault="001A0C59" w:rsidP="003F7F1D">
            <w:pPr>
              <w:pStyle w:val="TableTextMediumItalic"/>
            </w:pPr>
            <w:r w:rsidRPr="00FB4129">
              <w:t xml:space="preserve">Selected data to measure </w:t>
            </w:r>
            <w:r>
              <w:t>student learning</w:t>
            </w:r>
          </w:p>
        </w:tc>
        <w:tc>
          <w:tcPr>
            <w:tcW w:w="3117" w:type="dxa"/>
            <w:shd w:val="clear" w:color="auto" w:fill="CEE3F5" w:themeFill="accent1" w:themeFillTint="66"/>
          </w:tcPr>
          <w:p w14:paraId="62E7A87E" w14:textId="77777777" w:rsidR="001A0C59" w:rsidRPr="00FB4129" w:rsidRDefault="001A0C59" w:rsidP="003F7F1D">
            <w:pPr>
              <w:pStyle w:val="TableTextMediumItalic"/>
            </w:pPr>
            <w:r w:rsidRPr="00FB4129">
              <w:t xml:space="preserve">Selected data to measure </w:t>
            </w:r>
            <w:r>
              <w:t>student engagement</w:t>
            </w:r>
            <w:r w:rsidRPr="00FB4129">
              <w:t>:</w:t>
            </w:r>
          </w:p>
        </w:tc>
      </w:tr>
      <w:tr w:rsidR="001A0C59" w14:paraId="3806F9B6" w14:textId="77777777" w:rsidTr="003F7F1D">
        <w:trPr>
          <w:trHeight w:val="1008"/>
        </w:trPr>
        <w:tc>
          <w:tcPr>
            <w:tcW w:w="3116" w:type="dxa"/>
          </w:tcPr>
          <w:p w14:paraId="366BA0C3" w14:textId="77777777" w:rsidR="001A0C59" w:rsidRPr="00FB4129" w:rsidRDefault="001A0C59" w:rsidP="003F7F1D">
            <w:pPr>
              <w:pStyle w:val="TableText"/>
            </w:pPr>
          </w:p>
        </w:tc>
        <w:tc>
          <w:tcPr>
            <w:tcW w:w="3117" w:type="dxa"/>
          </w:tcPr>
          <w:p w14:paraId="5A033287" w14:textId="77777777" w:rsidR="001A0C59" w:rsidRPr="00FB4129" w:rsidRDefault="001A0C59" w:rsidP="003F7F1D">
            <w:pPr>
              <w:pStyle w:val="TableText"/>
            </w:pPr>
          </w:p>
        </w:tc>
        <w:tc>
          <w:tcPr>
            <w:tcW w:w="3117" w:type="dxa"/>
          </w:tcPr>
          <w:p w14:paraId="47B64F24" w14:textId="77777777" w:rsidR="001A0C59" w:rsidRPr="00FB4129" w:rsidRDefault="001A0C59" w:rsidP="003F7F1D">
            <w:pPr>
              <w:pStyle w:val="TableText"/>
            </w:pPr>
          </w:p>
        </w:tc>
      </w:tr>
      <w:tr w:rsidR="001A0C59" w14:paraId="158FBACD" w14:textId="77777777" w:rsidTr="003F7F1D">
        <w:trPr>
          <w:trHeight w:val="503"/>
        </w:trPr>
        <w:tc>
          <w:tcPr>
            <w:tcW w:w="3116" w:type="dxa"/>
            <w:shd w:val="clear" w:color="auto" w:fill="CEE3F5" w:themeFill="accent1" w:themeFillTint="66"/>
          </w:tcPr>
          <w:p w14:paraId="7EA68897" w14:textId="77777777" w:rsidR="001A0C59" w:rsidRPr="00FB4129" w:rsidRDefault="001A0C59" w:rsidP="003F7F1D">
            <w:pPr>
              <w:pStyle w:val="TableTextMediumItalic"/>
            </w:pPr>
            <w:r w:rsidRPr="00FB4129">
              <w:t>Definition of effective teaching using these data</w:t>
            </w:r>
          </w:p>
        </w:tc>
        <w:tc>
          <w:tcPr>
            <w:tcW w:w="3117" w:type="dxa"/>
            <w:shd w:val="clear" w:color="auto" w:fill="CEE3F5" w:themeFill="accent1" w:themeFillTint="66"/>
          </w:tcPr>
          <w:p w14:paraId="55D30203" w14:textId="77777777" w:rsidR="001A0C59" w:rsidRPr="00FB4129" w:rsidRDefault="001A0C59" w:rsidP="003F7F1D">
            <w:pPr>
              <w:pStyle w:val="TableTextMediumItalic"/>
            </w:pPr>
            <w:r w:rsidRPr="00FB4129">
              <w:t>Definition of effective teaching using these data</w:t>
            </w:r>
          </w:p>
        </w:tc>
        <w:tc>
          <w:tcPr>
            <w:tcW w:w="3117" w:type="dxa"/>
            <w:shd w:val="clear" w:color="auto" w:fill="CEE3F5" w:themeFill="accent1" w:themeFillTint="66"/>
          </w:tcPr>
          <w:p w14:paraId="1B01225B" w14:textId="77777777" w:rsidR="001A0C59" w:rsidRPr="00FB4129" w:rsidRDefault="001A0C59" w:rsidP="003F7F1D">
            <w:pPr>
              <w:pStyle w:val="TableTextMediumItalic"/>
            </w:pPr>
            <w:r w:rsidRPr="00FB4129">
              <w:t>Definition of effective teaching using these data</w:t>
            </w:r>
          </w:p>
        </w:tc>
      </w:tr>
      <w:tr w:rsidR="001A0C59" w14:paraId="445DCF19" w14:textId="77777777" w:rsidTr="003F7F1D">
        <w:trPr>
          <w:trHeight w:val="1872"/>
        </w:trPr>
        <w:tc>
          <w:tcPr>
            <w:tcW w:w="3116" w:type="dxa"/>
          </w:tcPr>
          <w:p w14:paraId="45FE17B9" w14:textId="77777777" w:rsidR="001A0C59" w:rsidRPr="00FB4129" w:rsidRDefault="001A0C59" w:rsidP="003F7F1D">
            <w:pPr>
              <w:pStyle w:val="TableText"/>
            </w:pPr>
          </w:p>
        </w:tc>
        <w:tc>
          <w:tcPr>
            <w:tcW w:w="3117" w:type="dxa"/>
          </w:tcPr>
          <w:p w14:paraId="3FE0F876" w14:textId="77777777" w:rsidR="001A0C59" w:rsidRPr="00FB4129" w:rsidRDefault="001A0C59" w:rsidP="003F7F1D">
            <w:pPr>
              <w:pStyle w:val="TableText"/>
            </w:pPr>
          </w:p>
        </w:tc>
        <w:tc>
          <w:tcPr>
            <w:tcW w:w="3117" w:type="dxa"/>
          </w:tcPr>
          <w:p w14:paraId="34A8A20E" w14:textId="77777777" w:rsidR="001A0C59" w:rsidRPr="00CB0FCC" w:rsidRDefault="001A0C59" w:rsidP="003F7F1D">
            <w:pPr>
              <w:pStyle w:val="TableText"/>
            </w:pPr>
          </w:p>
        </w:tc>
      </w:tr>
    </w:tbl>
    <w:p w14:paraId="5DDECE04" w14:textId="77777777" w:rsidR="000F64BB" w:rsidRDefault="000F64BB" w:rsidP="001A0C59">
      <w:pPr>
        <w:pStyle w:val="BodyText"/>
        <w:spacing w:after="120"/>
      </w:pPr>
      <w:r>
        <w:t>After examining the equity gaps in your district related to student access to effective teaching, what are your conclusions?</w:t>
      </w:r>
    </w:p>
    <w:tbl>
      <w:tblPr>
        <w:tblStyle w:val="TexasToolkittable1"/>
        <w:tblW w:w="0" w:type="auto"/>
        <w:tblLook w:val="0600" w:firstRow="0" w:lastRow="0" w:firstColumn="0" w:lastColumn="0" w:noHBand="1" w:noVBand="1"/>
      </w:tblPr>
      <w:tblGrid>
        <w:gridCol w:w="9350"/>
      </w:tblGrid>
      <w:tr w:rsidR="000F64BB" w14:paraId="57177A1C" w14:textId="77777777" w:rsidTr="001A0C59">
        <w:trPr>
          <w:trHeight w:val="4787"/>
        </w:trPr>
        <w:tc>
          <w:tcPr>
            <w:tcW w:w="9350" w:type="dxa"/>
          </w:tcPr>
          <w:p w14:paraId="47926AC9" w14:textId="77777777" w:rsidR="000F64BB" w:rsidRDefault="000F64BB" w:rsidP="00850E53"/>
        </w:tc>
      </w:tr>
    </w:tbl>
    <w:p w14:paraId="345C4CB4" w14:textId="77777777" w:rsidR="000F64BB" w:rsidRPr="00FA2BEE" w:rsidRDefault="000F64BB" w:rsidP="00850E53">
      <w:r>
        <w:br w:type="page"/>
      </w:r>
    </w:p>
    <w:p w14:paraId="53F75FDE" w14:textId="37A62440" w:rsidR="000F64BB" w:rsidRPr="001A0C59" w:rsidRDefault="001A0C59" w:rsidP="001A0C59">
      <w:pPr>
        <w:pStyle w:val="Heading1"/>
      </w:pPr>
      <w:r>
        <w:rPr>
          <w:noProof/>
        </w:rPr>
        <w:lastRenderedPageBreak/>
        <w:drawing>
          <wp:anchor distT="0" distB="0" distL="114300" distR="114300" simplePos="0" relativeHeight="251702272" behindDoc="1" locked="0" layoutInCell="1" allowOverlap="1" wp14:anchorId="21E2EDC9" wp14:editId="23F928F9">
            <wp:simplePos x="0" y="0"/>
            <wp:positionH relativeFrom="column">
              <wp:posOffset>3175</wp:posOffset>
            </wp:positionH>
            <wp:positionV relativeFrom="paragraph">
              <wp:posOffset>55245</wp:posOffset>
            </wp:positionV>
            <wp:extent cx="1687830" cy="908685"/>
            <wp:effectExtent l="0" t="0" r="7620" b="5715"/>
            <wp:wrapTight wrapText="bothSides">
              <wp:wrapPolygon edited="0">
                <wp:start x="0" y="0"/>
                <wp:lineTo x="0" y="21283"/>
                <wp:lineTo x="21454" y="21283"/>
                <wp:lineTo x="21454" y="0"/>
                <wp:lineTo x="0" y="0"/>
              </wp:wrapPolygon>
            </wp:wrapTight>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687830" cy="908685"/>
                    </a:xfrm>
                    <a:prstGeom prst="rect">
                      <a:avLst/>
                    </a:prstGeom>
                    <a:noFill/>
                  </pic:spPr>
                </pic:pic>
              </a:graphicData>
            </a:graphic>
            <wp14:sizeRelH relativeFrom="margin">
              <wp14:pctWidth>0</wp14:pctWidth>
            </wp14:sizeRelH>
          </wp:anchor>
        </w:drawing>
      </w:r>
      <w:r w:rsidR="000F64BB" w:rsidRPr="001A0C59">
        <w:t>Results of Step 3</w:t>
      </w:r>
      <w:r>
        <w:t xml:space="preserve">. </w:t>
      </w:r>
      <w:r w:rsidR="008954ED">
        <w:t>Conducting a Root Cause Analysis</w:t>
      </w:r>
    </w:p>
    <w:p w14:paraId="5425B69E" w14:textId="3E9FF3AD" w:rsidR="000F64BB" w:rsidRDefault="000F64BB" w:rsidP="001A0C59">
      <w:pPr>
        <w:pStyle w:val="BodyTextposthead"/>
        <w:spacing w:after="120"/>
      </w:pPr>
      <w:r>
        <w:t>For this next set of items, please refer to the “</w:t>
      </w:r>
      <w:r w:rsidRPr="004631CD">
        <w:t xml:space="preserve">Putting </w:t>
      </w:r>
      <w:r w:rsidR="00146B50">
        <w:t>I</w:t>
      </w:r>
      <w:r w:rsidRPr="004631CD">
        <w:t xml:space="preserve">t All Together: Incorporating </w:t>
      </w:r>
      <w:r w:rsidR="008954ED">
        <w:t xml:space="preserve">Your </w:t>
      </w:r>
      <w:r w:rsidR="008954ED" w:rsidRPr="008954ED">
        <w:t>Conducting a Root Cause Analysis</w:t>
      </w:r>
      <w:r w:rsidR="008954ED">
        <w:t xml:space="preserve"> </w:t>
      </w:r>
      <w:r w:rsidR="00376217">
        <w:t>E</w:t>
      </w:r>
      <w:r w:rsidR="008954ED">
        <w:t xml:space="preserve">fforts </w:t>
      </w:r>
      <w:proofErr w:type="gramStart"/>
      <w:r w:rsidR="00145ED2" w:rsidRPr="004631CD">
        <w:t>Into</w:t>
      </w:r>
      <w:proofErr w:type="gramEnd"/>
      <w:r w:rsidR="00145ED2" w:rsidRPr="004631CD">
        <w:t xml:space="preserve"> Your </w:t>
      </w:r>
      <w:r w:rsidRPr="004631CD">
        <w:t>Roadmap Reporting Template</w:t>
      </w:r>
      <w:r>
        <w:t xml:space="preserve">” section of your </w:t>
      </w:r>
      <w:r w:rsidR="008954ED">
        <w:t>RCA</w:t>
      </w:r>
      <w:r>
        <w:t xml:space="preserve"> tool and transfer the information to the </w:t>
      </w:r>
      <w:r w:rsidR="00146B50">
        <w:t xml:space="preserve">following </w:t>
      </w:r>
      <w:r>
        <w:t>space</w:t>
      </w:r>
      <w:r w:rsidR="00145ED2">
        <w:t>s</w:t>
      </w:r>
      <w:r>
        <w:t>.</w:t>
      </w:r>
    </w:p>
    <w:tbl>
      <w:tblPr>
        <w:tblStyle w:val="TexasToolkittable1"/>
        <w:tblW w:w="0" w:type="auto"/>
        <w:tblCellMar>
          <w:left w:w="58" w:type="dxa"/>
          <w:right w:w="58" w:type="dxa"/>
        </w:tblCellMar>
        <w:tblLook w:val="0600" w:firstRow="0" w:lastRow="0" w:firstColumn="0" w:lastColumn="0" w:noHBand="1" w:noVBand="1"/>
      </w:tblPr>
      <w:tblGrid>
        <w:gridCol w:w="3116"/>
        <w:gridCol w:w="3117"/>
        <w:gridCol w:w="3117"/>
      </w:tblGrid>
      <w:tr w:rsidR="001A0C59" w14:paraId="166D4630" w14:textId="77777777" w:rsidTr="003F7F1D">
        <w:trPr>
          <w:trHeight w:val="279"/>
        </w:trPr>
        <w:tc>
          <w:tcPr>
            <w:tcW w:w="9350" w:type="dxa"/>
            <w:gridSpan w:val="3"/>
            <w:shd w:val="clear" w:color="auto" w:fill="CEE3F5" w:themeFill="accent1" w:themeFillTint="66"/>
          </w:tcPr>
          <w:p w14:paraId="45DBA59D" w14:textId="1DB92D2D" w:rsidR="001A0C59" w:rsidRPr="0070594A" w:rsidRDefault="00F11B74" w:rsidP="003F7F1D">
            <w:pPr>
              <w:pStyle w:val="TableSubheading"/>
            </w:pPr>
            <w:r>
              <w:t xml:space="preserve">Problem </w:t>
            </w:r>
            <w:r w:rsidR="001A0C59">
              <w:t xml:space="preserve">Statement: </w:t>
            </w:r>
          </w:p>
        </w:tc>
      </w:tr>
      <w:tr w:rsidR="001A0C59" w14:paraId="6A53AECE" w14:textId="77777777" w:rsidTr="003F7F1D">
        <w:trPr>
          <w:trHeight w:val="548"/>
        </w:trPr>
        <w:tc>
          <w:tcPr>
            <w:tcW w:w="9350" w:type="dxa"/>
            <w:gridSpan w:val="3"/>
          </w:tcPr>
          <w:p w14:paraId="792A6438" w14:textId="77777777" w:rsidR="001A0C59" w:rsidRDefault="001A0C59" w:rsidP="003F7F1D">
            <w:pPr>
              <w:pStyle w:val="TableSubheading"/>
            </w:pPr>
          </w:p>
        </w:tc>
      </w:tr>
      <w:tr w:rsidR="001A0C59" w14:paraId="3B0D3F3B" w14:textId="77777777" w:rsidTr="003F7F1D">
        <w:tc>
          <w:tcPr>
            <w:tcW w:w="3116" w:type="dxa"/>
            <w:shd w:val="clear" w:color="auto" w:fill="E6F1FA" w:themeFill="accent1" w:themeFillTint="33"/>
          </w:tcPr>
          <w:p w14:paraId="2765F56C" w14:textId="77777777" w:rsidR="001A0C59" w:rsidRDefault="001A0C59" w:rsidP="00B85362">
            <w:pPr>
              <w:pStyle w:val="TableSubheading"/>
            </w:pPr>
            <w:r w:rsidRPr="001A0C59">
              <w:t xml:space="preserve">Root </w:t>
            </w:r>
            <w:r w:rsidR="00B85362">
              <w:t>Causes</w:t>
            </w:r>
            <w:r w:rsidRPr="001A0C59">
              <w:t xml:space="preserve"> </w:t>
            </w:r>
            <w:r w:rsidR="00145ED2">
              <w:t>a</w:t>
            </w:r>
            <w:r w:rsidR="00145ED2" w:rsidRPr="001A0C59">
              <w:t xml:space="preserve">s </w:t>
            </w:r>
            <w:r w:rsidR="00145ED2">
              <w:t>They</w:t>
            </w:r>
            <w:r w:rsidR="00145ED2" w:rsidRPr="001A0C59">
              <w:t xml:space="preserve"> </w:t>
            </w:r>
            <w:r w:rsidRPr="001A0C59">
              <w:t>Relate to ATTRACTING Excellent Teachers</w:t>
            </w:r>
          </w:p>
        </w:tc>
        <w:tc>
          <w:tcPr>
            <w:tcW w:w="3117" w:type="dxa"/>
            <w:shd w:val="clear" w:color="auto" w:fill="E6F1FA" w:themeFill="accent1" w:themeFillTint="33"/>
          </w:tcPr>
          <w:p w14:paraId="0D84E8E2" w14:textId="77777777" w:rsidR="001A0C59" w:rsidRPr="006702A1" w:rsidRDefault="001A0C59" w:rsidP="00B85362">
            <w:pPr>
              <w:pStyle w:val="TableSubheading"/>
              <w:rPr>
                <w:spacing w:val="-4"/>
              </w:rPr>
            </w:pPr>
            <w:r w:rsidRPr="001A0C59">
              <w:rPr>
                <w:spacing w:val="-4"/>
              </w:rPr>
              <w:t xml:space="preserve">Root </w:t>
            </w:r>
            <w:r w:rsidR="00B85362">
              <w:rPr>
                <w:spacing w:val="-4"/>
              </w:rPr>
              <w:t>Causes</w:t>
            </w:r>
            <w:r w:rsidRPr="001A0C59">
              <w:rPr>
                <w:spacing w:val="-4"/>
              </w:rPr>
              <w:t xml:space="preserve"> </w:t>
            </w:r>
            <w:r w:rsidR="00145ED2">
              <w:rPr>
                <w:spacing w:val="-4"/>
              </w:rPr>
              <w:t>as They</w:t>
            </w:r>
            <w:r w:rsidRPr="001A0C59">
              <w:rPr>
                <w:spacing w:val="-4"/>
              </w:rPr>
              <w:t xml:space="preserve"> Relate to SUPPORTING Excellent Teachers</w:t>
            </w:r>
          </w:p>
        </w:tc>
        <w:tc>
          <w:tcPr>
            <w:tcW w:w="3117" w:type="dxa"/>
            <w:shd w:val="clear" w:color="auto" w:fill="E6F1FA" w:themeFill="accent1" w:themeFillTint="33"/>
          </w:tcPr>
          <w:p w14:paraId="3EE6E5DE" w14:textId="77777777" w:rsidR="001A0C59" w:rsidRPr="006702A1" w:rsidRDefault="00A10F25" w:rsidP="00B85362">
            <w:pPr>
              <w:pStyle w:val="TableSubheading"/>
              <w:rPr>
                <w:spacing w:val="-4"/>
              </w:rPr>
            </w:pPr>
            <w:r w:rsidRPr="00A10F25">
              <w:rPr>
                <w:spacing w:val="-4"/>
              </w:rPr>
              <w:t xml:space="preserve">Root </w:t>
            </w:r>
            <w:r w:rsidR="00B85362">
              <w:rPr>
                <w:spacing w:val="-4"/>
              </w:rPr>
              <w:t>Causes</w:t>
            </w:r>
            <w:r w:rsidRPr="00A10F25">
              <w:rPr>
                <w:spacing w:val="-4"/>
              </w:rPr>
              <w:t xml:space="preserve"> </w:t>
            </w:r>
            <w:r w:rsidR="00145ED2">
              <w:rPr>
                <w:spacing w:val="-4"/>
              </w:rPr>
              <w:t>as They</w:t>
            </w:r>
            <w:r w:rsidRPr="00A10F25">
              <w:rPr>
                <w:spacing w:val="-4"/>
              </w:rPr>
              <w:t xml:space="preserve"> Relate to RETAINING Excellent Teachers</w:t>
            </w:r>
          </w:p>
        </w:tc>
      </w:tr>
      <w:tr w:rsidR="001A0C59" w14:paraId="78F6EFAC" w14:textId="77777777" w:rsidTr="003F7F1D">
        <w:trPr>
          <w:trHeight w:val="864"/>
        </w:trPr>
        <w:tc>
          <w:tcPr>
            <w:tcW w:w="3116" w:type="dxa"/>
          </w:tcPr>
          <w:p w14:paraId="063F7C26" w14:textId="77777777" w:rsidR="001A0C59" w:rsidRPr="002E423B" w:rsidRDefault="001A0C59" w:rsidP="003F7F1D">
            <w:pPr>
              <w:pStyle w:val="TableSubheading"/>
            </w:pPr>
          </w:p>
        </w:tc>
        <w:tc>
          <w:tcPr>
            <w:tcW w:w="3117" w:type="dxa"/>
          </w:tcPr>
          <w:p w14:paraId="4C8A7CBE" w14:textId="77777777" w:rsidR="001A0C59" w:rsidRPr="002E423B" w:rsidRDefault="001A0C59" w:rsidP="003F7F1D">
            <w:pPr>
              <w:pStyle w:val="TableSubheading"/>
            </w:pPr>
          </w:p>
        </w:tc>
        <w:tc>
          <w:tcPr>
            <w:tcW w:w="3117" w:type="dxa"/>
          </w:tcPr>
          <w:p w14:paraId="77E0750A" w14:textId="77777777" w:rsidR="001A0C59" w:rsidRPr="002E423B" w:rsidRDefault="001A0C59" w:rsidP="003F7F1D">
            <w:pPr>
              <w:pStyle w:val="TableSubheading"/>
            </w:pPr>
          </w:p>
        </w:tc>
      </w:tr>
      <w:tr w:rsidR="001A0C59" w14:paraId="60107A34" w14:textId="77777777" w:rsidTr="003F7F1D">
        <w:trPr>
          <w:trHeight w:val="864"/>
        </w:trPr>
        <w:tc>
          <w:tcPr>
            <w:tcW w:w="3116" w:type="dxa"/>
          </w:tcPr>
          <w:p w14:paraId="3455A12E" w14:textId="77777777" w:rsidR="001A0C59" w:rsidRPr="002E423B" w:rsidRDefault="001A0C59" w:rsidP="003F7F1D">
            <w:pPr>
              <w:pStyle w:val="TableSubheading"/>
            </w:pPr>
          </w:p>
        </w:tc>
        <w:tc>
          <w:tcPr>
            <w:tcW w:w="3117" w:type="dxa"/>
          </w:tcPr>
          <w:p w14:paraId="541539C0" w14:textId="77777777" w:rsidR="001A0C59" w:rsidRPr="002E423B" w:rsidRDefault="001A0C59" w:rsidP="003F7F1D">
            <w:pPr>
              <w:pStyle w:val="TableSubheading"/>
            </w:pPr>
          </w:p>
        </w:tc>
        <w:tc>
          <w:tcPr>
            <w:tcW w:w="3117" w:type="dxa"/>
          </w:tcPr>
          <w:p w14:paraId="4D5564FF" w14:textId="77777777" w:rsidR="001A0C59" w:rsidRPr="002E423B" w:rsidRDefault="001A0C59" w:rsidP="003F7F1D">
            <w:pPr>
              <w:pStyle w:val="TableSubheading"/>
            </w:pPr>
          </w:p>
        </w:tc>
      </w:tr>
      <w:tr w:rsidR="001A0C59" w14:paraId="649A452D" w14:textId="77777777" w:rsidTr="003F7F1D">
        <w:trPr>
          <w:trHeight w:val="864"/>
        </w:trPr>
        <w:tc>
          <w:tcPr>
            <w:tcW w:w="3116" w:type="dxa"/>
          </w:tcPr>
          <w:p w14:paraId="732D087C" w14:textId="77777777" w:rsidR="001A0C59" w:rsidRPr="002E423B" w:rsidRDefault="001A0C59" w:rsidP="003F7F1D">
            <w:pPr>
              <w:pStyle w:val="TableSubheading"/>
            </w:pPr>
          </w:p>
        </w:tc>
        <w:tc>
          <w:tcPr>
            <w:tcW w:w="3117" w:type="dxa"/>
          </w:tcPr>
          <w:p w14:paraId="21AB76F5" w14:textId="77777777" w:rsidR="001A0C59" w:rsidRPr="002E423B" w:rsidRDefault="001A0C59" w:rsidP="003F7F1D">
            <w:pPr>
              <w:pStyle w:val="TableSubheading"/>
            </w:pPr>
          </w:p>
        </w:tc>
        <w:tc>
          <w:tcPr>
            <w:tcW w:w="3117" w:type="dxa"/>
          </w:tcPr>
          <w:p w14:paraId="49FF5CDC" w14:textId="77777777" w:rsidR="001A0C59" w:rsidRPr="002E423B" w:rsidRDefault="001A0C59" w:rsidP="003F7F1D">
            <w:pPr>
              <w:pStyle w:val="TableSubheading"/>
            </w:pPr>
          </w:p>
        </w:tc>
      </w:tr>
    </w:tbl>
    <w:p w14:paraId="0D5CC6B6" w14:textId="77777777" w:rsidR="001A0C59" w:rsidRDefault="001A0C59" w:rsidP="001A0C59">
      <w:pPr>
        <w:pStyle w:val="BodyTextposthead"/>
        <w:spacing w:after="120"/>
      </w:pPr>
    </w:p>
    <w:p w14:paraId="3B3FF528" w14:textId="77777777" w:rsidR="000F64BB" w:rsidRDefault="000F64BB" w:rsidP="00850E53">
      <w:pPr>
        <w:pStyle w:val="Heading1"/>
        <w:rPr>
          <w:b/>
        </w:rPr>
        <w:sectPr w:rsidR="000F64BB" w:rsidSect="003F7FE3">
          <w:headerReference w:type="even" r:id="rId20"/>
          <w:footerReference w:type="even" r:id="rId21"/>
          <w:footerReference w:type="default" r:id="rId22"/>
          <w:headerReference w:type="first" r:id="rId23"/>
          <w:footerReference w:type="first" r:id="rId24"/>
          <w:pgSz w:w="12240" w:h="15840"/>
          <w:pgMar w:top="1440" w:right="1440" w:bottom="1440" w:left="1440" w:header="720" w:footer="432" w:gutter="0"/>
          <w:cols w:space="720"/>
          <w:titlePg/>
          <w:docGrid w:linePitch="360"/>
        </w:sectPr>
      </w:pPr>
    </w:p>
    <w:p w14:paraId="1FACCC7C" w14:textId="77777777" w:rsidR="000F64BB" w:rsidRPr="00A10F25" w:rsidRDefault="00B272B0" w:rsidP="00A10F25">
      <w:pPr>
        <w:pStyle w:val="Heading1"/>
      </w:pPr>
      <w:r>
        <w:rPr>
          <w:noProof/>
        </w:rPr>
        <w:lastRenderedPageBreak/>
        <w:drawing>
          <wp:anchor distT="0" distB="0" distL="114300" distR="114300" simplePos="0" relativeHeight="251704320" behindDoc="1" locked="0" layoutInCell="1" allowOverlap="1" wp14:anchorId="4F521287" wp14:editId="0A73FF62">
            <wp:simplePos x="0" y="0"/>
            <wp:positionH relativeFrom="column">
              <wp:posOffset>3810</wp:posOffset>
            </wp:positionH>
            <wp:positionV relativeFrom="paragraph">
              <wp:posOffset>134620</wp:posOffset>
            </wp:positionV>
            <wp:extent cx="1681480" cy="908685"/>
            <wp:effectExtent l="0" t="0" r="0" b="5715"/>
            <wp:wrapTight wrapText="bothSides">
              <wp:wrapPolygon edited="0">
                <wp:start x="0" y="0"/>
                <wp:lineTo x="0" y="21283"/>
                <wp:lineTo x="21290" y="21283"/>
                <wp:lineTo x="21290" y="0"/>
                <wp:lineTo x="0" y="0"/>
              </wp:wrapPolygon>
            </wp:wrapTight>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681480" cy="908685"/>
                    </a:xfrm>
                    <a:prstGeom prst="rect">
                      <a:avLst/>
                    </a:prstGeom>
                    <a:noFill/>
                  </pic:spPr>
                </pic:pic>
              </a:graphicData>
            </a:graphic>
            <wp14:sizeRelH relativeFrom="margin">
              <wp14:pctWidth>0</wp14:pctWidth>
            </wp14:sizeRelH>
          </wp:anchor>
        </w:drawing>
      </w:r>
      <w:r w:rsidR="000F64BB" w:rsidRPr="00A10F25">
        <w:t xml:space="preserve">Results of Steps 4 and 5. Selecting Strategies and </w:t>
      </w:r>
      <w:r w:rsidR="0056797B">
        <w:br/>
      </w:r>
      <w:r w:rsidR="000F64BB" w:rsidRPr="00A10F25">
        <w:t>Planning for Implementation</w:t>
      </w:r>
    </w:p>
    <w:p w14:paraId="432D796E" w14:textId="77777777" w:rsidR="000F64BB" w:rsidRDefault="000F64BB" w:rsidP="00A10F25">
      <w:pPr>
        <w:pStyle w:val="BodyTextposthead"/>
      </w:pPr>
      <w:r>
        <w:t xml:space="preserve">For this next set of items, please refer to the </w:t>
      </w:r>
      <w:r w:rsidR="00146B50">
        <w:t>“</w:t>
      </w:r>
      <w:r w:rsidRPr="004631CD">
        <w:t xml:space="preserve">Putting </w:t>
      </w:r>
      <w:r w:rsidR="00146B50">
        <w:t>I</w:t>
      </w:r>
      <w:r w:rsidRPr="004631CD">
        <w:t xml:space="preserve">t All Together: Incorporating Your </w:t>
      </w:r>
      <w:r>
        <w:t>Selecting Strategies</w:t>
      </w:r>
      <w:r w:rsidRPr="004631CD">
        <w:t xml:space="preserve"> Efforts </w:t>
      </w:r>
      <w:proofErr w:type="gramStart"/>
      <w:r w:rsidR="00146B50" w:rsidRPr="004631CD">
        <w:t>Into</w:t>
      </w:r>
      <w:proofErr w:type="gramEnd"/>
      <w:r w:rsidR="00146B50" w:rsidRPr="004631CD">
        <w:t xml:space="preserve"> Your </w:t>
      </w:r>
      <w:r w:rsidRPr="004631CD">
        <w:t>Roadmap Reporting Template</w:t>
      </w:r>
      <w:r>
        <w:t>” section of your Selecting Strategies tool and Planning for Implementation tool.</w:t>
      </w:r>
    </w:p>
    <w:p w14:paraId="42983645" w14:textId="5DC5D700" w:rsidR="000F64BB" w:rsidRDefault="000F64BB" w:rsidP="00A10F25">
      <w:pPr>
        <w:pStyle w:val="BodyText"/>
        <w:spacing w:after="120"/>
        <w:rPr>
          <w:spacing w:val="-2"/>
        </w:rPr>
      </w:pPr>
      <w:r w:rsidRPr="00146B50">
        <w:rPr>
          <w:spacing w:val="-2"/>
        </w:rPr>
        <w:t xml:space="preserve">Complete the </w:t>
      </w:r>
      <w:r w:rsidR="00146B50" w:rsidRPr="00146B50">
        <w:rPr>
          <w:spacing w:val="-2"/>
        </w:rPr>
        <w:t xml:space="preserve">following </w:t>
      </w:r>
      <w:r w:rsidRPr="00146B50">
        <w:rPr>
          <w:spacing w:val="-2"/>
        </w:rPr>
        <w:t>table</w:t>
      </w:r>
      <w:r w:rsidR="00CE1222">
        <w:rPr>
          <w:spacing w:val="-2"/>
        </w:rPr>
        <w:t>s</w:t>
      </w:r>
      <w:r w:rsidRPr="00146B50">
        <w:rPr>
          <w:spacing w:val="-2"/>
        </w:rPr>
        <w:t xml:space="preserve"> by </w:t>
      </w:r>
      <w:r w:rsidR="00CE1222">
        <w:rPr>
          <w:spacing w:val="-2"/>
        </w:rPr>
        <w:t xml:space="preserve">first </w:t>
      </w:r>
      <w:r w:rsidRPr="00146B50">
        <w:rPr>
          <w:spacing w:val="-2"/>
        </w:rPr>
        <w:t xml:space="preserve">listing </w:t>
      </w:r>
      <w:r w:rsidR="00CE1222">
        <w:rPr>
          <w:spacing w:val="-2"/>
        </w:rPr>
        <w:t xml:space="preserve">your district’s long-term outcomes. </w:t>
      </w:r>
      <w:r w:rsidR="00CE1222" w:rsidRPr="00CE1222">
        <w:rPr>
          <w:spacing w:val="-2"/>
        </w:rPr>
        <w:t xml:space="preserve">These </w:t>
      </w:r>
      <w:r w:rsidR="00CE1222" w:rsidRPr="00CE1222">
        <w:t>are your high-level goals</w:t>
      </w:r>
      <w:r w:rsidR="00CE1222">
        <w:t xml:space="preserve"> that should occur</w:t>
      </w:r>
      <w:r w:rsidR="00CE1222" w:rsidRPr="00CE1222">
        <w:t xml:space="preserve"> in the next 2–5 years if your strategies are successful</w:t>
      </w:r>
      <w:r w:rsidR="00CE1222">
        <w:t>.</w:t>
      </w:r>
      <w:r w:rsidR="00CE1222" w:rsidRPr="00CE1222">
        <w:t xml:space="preserve"> </w:t>
      </w:r>
      <w:r w:rsidR="00CE1222">
        <w:t xml:space="preserve">Then, list </w:t>
      </w:r>
      <w:r w:rsidRPr="00CE1222">
        <w:rPr>
          <w:spacing w:val="-2"/>
        </w:rPr>
        <w:t>the</w:t>
      </w:r>
      <w:r w:rsidRPr="00146B50">
        <w:rPr>
          <w:spacing w:val="-2"/>
        </w:rPr>
        <w:t xml:space="preserve"> strategies your district will implement to address the root causes of the equity gaps in your district. </w:t>
      </w:r>
    </w:p>
    <w:tbl>
      <w:tblPr>
        <w:tblStyle w:val="TableGrid"/>
        <w:tblW w:w="0" w:type="auto"/>
        <w:tblLook w:val="04A0" w:firstRow="1" w:lastRow="0" w:firstColumn="1" w:lastColumn="0" w:noHBand="0" w:noVBand="1"/>
      </w:tblPr>
      <w:tblGrid>
        <w:gridCol w:w="9350"/>
      </w:tblGrid>
      <w:tr w:rsidR="00CE1222" w14:paraId="1EF63AE6" w14:textId="77777777" w:rsidTr="00117362">
        <w:trPr>
          <w:trHeight w:val="1853"/>
        </w:trPr>
        <w:tc>
          <w:tcPr>
            <w:tcW w:w="12950" w:type="dxa"/>
          </w:tcPr>
          <w:p w14:paraId="3FAD4883" w14:textId="54274FE9" w:rsidR="00CE1222" w:rsidRDefault="00CE1222" w:rsidP="00A10F25">
            <w:pPr>
              <w:pStyle w:val="BodyText"/>
              <w:spacing w:after="120"/>
              <w:rPr>
                <w:spacing w:val="-2"/>
              </w:rPr>
            </w:pPr>
            <w:r>
              <w:rPr>
                <w:spacing w:val="-2"/>
              </w:rPr>
              <w:t>Long-</w:t>
            </w:r>
            <w:r w:rsidR="009A78CB">
              <w:rPr>
                <w:spacing w:val="-2"/>
              </w:rPr>
              <w:t>T</w:t>
            </w:r>
            <w:r>
              <w:rPr>
                <w:spacing w:val="-2"/>
              </w:rPr>
              <w:t>erm Outcomes (from Step 5):</w:t>
            </w:r>
          </w:p>
          <w:p w14:paraId="615542F2" w14:textId="56F993F0" w:rsidR="00CE1222" w:rsidRDefault="00CE1222" w:rsidP="00117362">
            <w:pPr>
              <w:pStyle w:val="BodyText"/>
              <w:spacing w:after="120"/>
              <w:rPr>
                <w:spacing w:val="-2"/>
              </w:rPr>
            </w:pPr>
          </w:p>
        </w:tc>
      </w:tr>
    </w:tbl>
    <w:p w14:paraId="4E3E63A8" w14:textId="77777777" w:rsidR="00CE1222" w:rsidRPr="00146B50" w:rsidRDefault="00CE1222" w:rsidP="00A10F25">
      <w:pPr>
        <w:pStyle w:val="BodyText"/>
        <w:spacing w:after="120"/>
        <w:rPr>
          <w:spacing w:val="-2"/>
        </w:rPr>
      </w:pPr>
    </w:p>
    <w:tbl>
      <w:tblPr>
        <w:tblStyle w:val="TexasToolkittable1"/>
        <w:tblW w:w="5000" w:type="pct"/>
        <w:tblLook w:val="0620" w:firstRow="1" w:lastRow="0" w:firstColumn="0" w:lastColumn="0" w:noHBand="1" w:noVBand="1"/>
      </w:tblPr>
      <w:tblGrid>
        <w:gridCol w:w="1801"/>
        <w:gridCol w:w="1834"/>
        <w:gridCol w:w="1905"/>
        <w:gridCol w:w="1905"/>
        <w:gridCol w:w="1905"/>
      </w:tblGrid>
      <w:tr w:rsidR="000F64BB" w:rsidRPr="00FF54B4" w:rsidDel="009537D3" w14:paraId="0505EA15" w14:textId="77777777" w:rsidTr="00117362">
        <w:trPr>
          <w:cnfStyle w:val="100000000000" w:firstRow="1" w:lastRow="0" w:firstColumn="0" w:lastColumn="0" w:oddVBand="0" w:evenVBand="0" w:oddHBand="0" w:evenHBand="0" w:firstRowFirstColumn="0" w:firstRowLastColumn="0" w:lastRowFirstColumn="0" w:lastRowLastColumn="0"/>
          <w:tblHeader/>
        </w:trPr>
        <w:tc>
          <w:tcPr>
            <w:tcW w:w="2880" w:type="dxa"/>
            <w:vAlign w:val="center"/>
          </w:tcPr>
          <w:p w14:paraId="6466CF94" w14:textId="77D8DA66" w:rsidR="000F64BB" w:rsidRDefault="000F64BB" w:rsidP="00117362">
            <w:pPr>
              <w:pStyle w:val="TableColumnHeadingCenter"/>
            </w:pPr>
            <w:r w:rsidRPr="005847D9">
              <w:t>Identified Root</w:t>
            </w:r>
            <w:r w:rsidR="00B85362">
              <w:t xml:space="preserve"> Cause</w:t>
            </w:r>
          </w:p>
          <w:p w14:paraId="57364ACA" w14:textId="77777777" w:rsidR="000F64BB" w:rsidRDefault="000F64BB" w:rsidP="00117362">
            <w:pPr>
              <w:pStyle w:val="TableColumnHeadingCenter"/>
            </w:pPr>
            <w:r>
              <w:t xml:space="preserve">(from </w:t>
            </w:r>
            <w:r w:rsidR="00146B50">
              <w:t>S</w:t>
            </w:r>
            <w:r>
              <w:t>tep 3)</w:t>
            </w:r>
          </w:p>
        </w:tc>
        <w:tc>
          <w:tcPr>
            <w:tcW w:w="2880" w:type="dxa"/>
            <w:vAlign w:val="center"/>
          </w:tcPr>
          <w:p w14:paraId="58E0020B" w14:textId="77777777" w:rsidR="000F64BB" w:rsidRPr="00FF54B4" w:rsidRDefault="000F64BB" w:rsidP="00117362">
            <w:pPr>
              <w:pStyle w:val="TableColumnHeadingCenter"/>
            </w:pPr>
            <w:r>
              <w:t>Selected Equity Plan Strategies</w:t>
            </w:r>
          </w:p>
          <w:p w14:paraId="24BB57F5" w14:textId="77777777" w:rsidR="000F64BB" w:rsidRPr="00FF54B4" w:rsidRDefault="000F64BB" w:rsidP="00117362">
            <w:pPr>
              <w:pStyle w:val="TableColumnHeadingCenter"/>
            </w:pPr>
            <w:r w:rsidRPr="00FF54B4">
              <w:t>(</w:t>
            </w:r>
            <w:r>
              <w:t xml:space="preserve">from </w:t>
            </w:r>
            <w:r w:rsidR="00146B50">
              <w:t>S</w:t>
            </w:r>
            <w:r w:rsidRPr="00FF54B4">
              <w:t>tep 4)</w:t>
            </w:r>
          </w:p>
        </w:tc>
        <w:tc>
          <w:tcPr>
            <w:tcW w:w="2880" w:type="dxa"/>
            <w:vAlign w:val="center"/>
          </w:tcPr>
          <w:p w14:paraId="422A246D" w14:textId="77777777" w:rsidR="000F64BB" w:rsidRPr="00FF54B4" w:rsidRDefault="000F64BB" w:rsidP="00117362">
            <w:pPr>
              <w:pStyle w:val="TableColumnHeadingCenter"/>
            </w:pPr>
            <w:r w:rsidRPr="00FF54B4">
              <w:t>Ou</w:t>
            </w:r>
            <w:r>
              <w:t>tputs</w:t>
            </w:r>
          </w:p>
          <w:p w14:paraId="65C43BF1" w14:textId="77777777" w:rsidR="000F64BB" w:rsidRPr="00FF54B4" w:rsidRDefault="000F64BB" w:rsidP="00117362">
            <w:pPr>
              <w:pStyle w:val="TableColumnHeadingCenter"/>
            </w:pPr>
            <w:r w:rsidRPr="00FF54B4">
              <w:t>Benchmark 1</w:t>
            </w:r>
          </w:p>
          <w:p w14:paraId="343C7E4B" w14:textId="77777777" w:rsidR="000F64BB" w:rsidRPr="00FF54B4" w:rsidRDefault="000F64BB" w:rsidP="00117362">
            <w:pPr>
              <w:pStyle w:val="TableColumnHeadingCenter"/>
            </w:pPr>
            <w:r w:rsidRPr="00FF54B4">
              <w:t>(</w:t>
            </w:r>
            <w:r>
              <w:t xml:space="preserve">from </w:t>
            </w:r>
            <w:r w:rsidR="00146B50">
              <w:t>S</w:t>
            </w:r>
            <w:r w:rsidRPr="00FF54B4">
              <w:t>tep 5)</w:t>
            </w:r>
          </w:p>
        </w:tc>
        <w:tc>
          <w:tcPr>
            <w:tcW w:w="2880" w:type="dxa"/>
            <w:vAlign w:val="center"/>
          </w:tcPr>
          <w:p w14:paraId="0FC5D2C0" w14:textId="66A65073" w:rsidR="000F64BB" w:rsidRPr="00FF54B4" w:rsidRDefault="000F64BB" w:rsidP="00117362">
            <w:pPr>
              <w:pStyle w:val="TableColumnHeadingCenter"/>
            </w:pPr>
            <w:r>
              <w:t>Short</w:t>
            </w:r>
            <w:r w:rsidR="00146B50">
              <w:t>-</w:t>
            </w:r>
            <w:r>
              <w:t xml:space="preserve">Term </w:t>
            </w:r>
            <w:r w:rsidRPr="00FF54B4">
              <w:t>Outcome</w:t>
            </w:r>
          </w:p>
          <w:p w14:paraId="3332B883" w14:textId="77777777" w:rsidR="000F64BB" w:rsidRPr="00FF54B4" w:rsidRDefault="000F64BB" w:rsidP="00117362">
            <w:pPr>
              <w:pStyle w:val="TableColumnHeadingCenter"/>
            </w:pPr>
            <w:r w:rsidRPr="00FF54B4">
              <w:t>Benchmark 2</w:t>
            </w:r>
          </w:p>
          <w:p w14:paraId="3BDD4C3D" w14:textId="77777777" w:rsidR="000F64BB" w:rsidRPr="00FF54B4" w:rsidRDefault="000F64BB" w:rsidP="00117362">
            <w:pPr>
              <w:pStyle w:val="TableColumnHeadingCenter"/>
            </w:pPr>
            <w:r w:rsidRPr="00FF54B4">
              <w:t>(</w:t>
            </w:r>
            <w:r>
              <w:t xml:space="preserve">from </w:t>
            </w:r>
            <w:r w:rsidR="00146B50">
              <w:t>S</w:t>
            </w:r>
            <w:r w:rsidRPr="00FF54B4">
              <w:t>tep 5)</w:t>
            </w:r>
          </w:p>
        </w:tc>
        <w:tc>
          <w:tcPr>
            <w:tcW w:w="2880" w:type="dxa"/>
            <w:vAlign w:val="center"/>
          </w:tcPr>
          <w:p w14:paraId="33C2810D" w14:textId="15693F78" w:rsidR="000F64BB" w:rsidRPr="00FF54B4" w:rsidRDefault="000F64BB" w:rsidP="00117362">
            <w:pPr>
              <w:pStyle w:val="TableColumnHeadingCenter"/>
            </w:pPr>
            <w:r>
              <w:t>Mid</w:t>
            </w:r>
            <w:r w:rsidR="00146B50">
              <w:t>-</w:t>
            </w:r>
            <w:r>
              <w:t xml:space="preserve">Term </w:t>
            </w:r>
            <w:r w:rsidRPr="00FF54B4">
              <w:t>Outcome</w:t>
            </w:r>
          </w:p>
          <w:p w14:paraId="47DD8EBD" w14:textId="77777777" w:rsidR="000F64BB" w:rsidRPr="00FF54B4" w:rsidRDefault="000F64BB" w:rsidP="00117362">
            <w:pPr>
              <w:pStyle w:val="TableColumnHeadingCenter"/>
            </w:pPr>
            <w:r w:rsidRPr="00FF54B4">
              <w:t>Benchmark 3</w:t>
            </w:r>
          </w:p>
          <w:p w14:paraId="19B9B949" w14:textId="77777777" w:rsidR="000F64BB" w:rsidRDefault="000F64BB" w:rsidP="00117362">
            <w:pPr>
              <w:pStyle w:val="TableColumnHeadingCenter"/>
            </w:pPr>
            <w:r w:rsidRPr="00FF54B4">
              <w:t>(</w:t>
            </w:r>
            <w:r>
              <w:t xml:space="preserve">from </w:t>
            </w:r>
            <w:r w:rsidR="00146B50">
              <w:t>S</w:t>
            </w:r>
            <w:r w:rsidRPr="00FF54B4">
              <w:t>tep 5)</w:t>
            </w:r>
          </w:p>
        </w:tc>
      </w:tr>
      <w:tr w:rsidR="000F64BB" w14:paraId="78AA8C5D" w14:textId="77777777" w:rsidTr="00A10F25">
        <w:trPr>
          <w:trHeight w:val="864"/>
        </w:trPr>
        <w:tc>
          <w:tcPr>
            <w:tcW w:w="2880" w:type="dxa"/>
          </w:tcPr>
          <w:p w14:paraId="4EF1E2D2" w14:textId="77777777" w:rsidR="000F64BB" w:rsidRPr="00E870B0" w:rsidRDefault="000F64BB" w:rsidP="00850E53"/>
        </w:tc>
        <w:tc>
          <w:tcPr>
            <w:tcW w:w="2880" w:type="dxa"/>
          </w:tcPr>
          <w:p w14:paraId="30977F29" w14:textId="77777777" w:rsidR="000F64BB" w:rsidRPr="00E870B0" w:rsidRDefault="000F64BB" w:rsidP="00850E53"/>
        </w:tc>
        <w:tc>
          <w:tcPr>
            <w:tcW w:w="2880" w:type="dxa"/>
          </w:tcPr>
          <w:p w14:paraId="3EF61ED0" w14:textId="77777777" w:rsidR="000F64BB" w:rsidRDefault="000F64BB" w:rsidP="00850E53"/>
        </w:tc>
        <w:tc>
          <w:tcPr>
            <w:tcW w:w="2880" w:type="dxa"/>
          </w:tcPr>
          <w:p w14:paraId="0308E004" w14:textId="77777777" w:rsidR="000F64BB" w:rsidRDefault="000F64BB" w:rsidP="00850E53"/>
        </w:tc>
        <w:tc>
          <w:tcPr>
            <w:tcW w:w="2880" w:type="dxa"/>
          </w:tcPr>
          <w:p w14:paraId="0686B3C0" w14:textId="77777777" w:rsidR="000F64BB" w:rsidRDefault="000F64BB" w:rsidP="00850E53"/>
        </w:tc>
      </w:tr>
      <w:tr w:rsidR="000F64BB" w14:paraId="43A64174" w14:textId="77777777" w:rsidTr="00A10F25">
        <w:trPr>
          <w:trHeight w:val="864"/>
        </w:trPr>
        <w:tc>
          <w:tcPr>
            <w:tcW w:w="2880" w:type="dxa"/>
          </w:tcPr>
          <w:p w14:paraId="41D7C4C9" w14:textId="77777777" w:rsidR="000F64BB" w:rsidRDefault="000F64BB" w:rsidP="00850E53"/>
        </w:tc>
        <w:tc>
          <w:tcPr>
            <w:tcW w:w="2880" w:type="dxa"/>
          </w:tcPr>
          <w:p w14:paraId="0DA52B10" w14:textId="77777777" w:rsidR="000F64BB" w:rsidRDefault="000F64BB" w:rsidP="00850E53"/>
        </w:tc>
        <w:tc>
          <w:tcPr>
            <w:tcW w:w="2880" w:type="dxa"/>
          </w:tcPr>
          <w:p w14:paraId="1471C8B3" w14:textId="77777777" w:rsidR="000F64BB" w:rsidRDefault="000F64BB" w:rsidP="00850E53"/>
        </w:tc>
        <w:tc>
          <w:tcPr>
            <w:tcW w:w="2880" w:type="dxa"/>
          </w:tcPr>
          <w:p w14:paraId="6C2D443B" w14:textId="77777777" w:rsidR="000F64BB" w:rsidRDefault="000F64BB" w:rsidP="00850E53"/>
        </w:tc>
        <w:tc>
          <w:tcPr>
            <w:tcW w:w="2880" w:type="dxa"/>
          </w:tcPr>
          <w:p w14:paraId="1F9F7708" w14:textId="77777777" w:rsidR="000F64BB" w:rsidRDefault="000F64BB" w:rsidP="00850E53"/>
        </w:tc>
      </w:tr>
      <w:tr w:rsidR="000F64BB" w14:paraId="78C72CEC" w14:textId="77777777" w:rsidTr="00A10F25">
        <w:trPr>
          <w:trHeight w:val="864"/>
        </w:trPr>
        <w:tc>
          <w:tcPr>
            <w:tcW w:w="2880" w:type="dxa"/>
          </w:tcPr>
          <w:p w14:paraId="5C29C6EC" w14:textId="77777777" w:rsidR="000F64BB" w:rsidRDefault="000F64BB" w:rsidP="00850E53"/>
        </w:tc>
        <w:tc>
          <w:tcPr>
            <w:tcW w:w="2880" w:type="dxa"/>
          </w:tcPr>
          <w:p w14:paraId="49C12606" w14:textId="77777777" w:rsidR="000F64BB" w:rsidRDefault="000F64BB" w:rsidP="00850E53"/>
        </w:tc>
        <w:tc>
          <w:tcPr>
            <w:tcW w:w="2880" w:type="dxa"/>
          </w:tcPr>
          <w:p w14:paraId="11DC894D" w14:textId="77777777" w:rsidR="000F64BB" w:rsidRDefault="000F64BB" w:rsidP="00850E53"/>
        </w:tc>
        <w:tc>
          <w:tcPr>
            <w:tcW w:w="2880" w:type="dxa"/>
          </w:tcPr>
          <w:p w14:paraId="548C0FA3" w14:textId="77777777" w:rsidR="000F64BB" w:rsidRDefault="000F64BB" w:rsidP="00850E53"/>
        </w:tc>
        <w:tc>
          <w:tcPr>
            <w:tcW w:w="2880" w:type="dxa"/>
          </w:tcPr>
          <w:p w14:paraId="1C40B0B1" w14:textId="77777777" w:rsidR="000F64BB" w:rsidRDefault="000F64BB" w:rsidP="00850E53"/>
        </w:tc>
      </w:tr>
      <w:tr w:rsidR="000F64BB" w14:paraId="4302532B" w14:textId="77777777" w:rsidTr="00A10F25">
        <w:trPr>
          <w:trHeight w:val="864"/>
        </w:trPr>
        <w:tc>
          <w:tcPr>
            <w:tcW w:w="2880" w:type="dxa"/>
          </w:tcPr>
          <w:p w14:paraId="0C134389" w14:textId="77777777" w:rsidR="000F64BB" w:rsidRDefault="000F64BB" w:rsidP="00850E53"/>
        </w:tc>
        <w:tc>
          <w:tcPr>
            <w:tcW w:w="2880" w:type="dxa"/>
          </w:tcPr>
          <w:p w14:paraId="5A12A487" w14:textId="77777777" w:rsidR="000F64BB" w:rsidRDefault="000F64BB" w:rsidP="00850E53"/>
        </w:tc>
        <w:tc>
          <w:tcPr>
            <w:tcW w:w="2880" w:type="dxa"/>
          </w:tcPr>
          <w:p w14:paraId="183EAD01" w14:textId="77777777" w:rsidR="000F64BB" w:rsidRDefault="000F64BB" w:rsidP="00850E53"/>
        </w:tc>
        <w:tc>
          <w:tcPr>
            <w:tcW w:w="2880" w:type="dxa"/>
          </w:tcPr>
          <w:p w14:paraId="377FD0A9" w14:textId="77777777" w:rsidR="000F64BB" w:rsidRDefault="000F64BB" w:rsidP="00850E53"/>
        </w:tc>
        <w:tc>
          <w:tcPr>
            <w:tcW w:w="2880" w:type="dxa"/>
          </w:tcPr>
          <w:p w14:paraId="3D74C04E" w14:textId="77777777" w:rsidR="000F64BB" w:rsidRDefault="000F64BB" w:rsidP="00850E53"/>
        </w:tc>
      </w:tr>
      <w:tr w:rsidR="000F64BB" w14:paraId="2A6BE954" w14:textId="77777777" w:rsidTr="00A10F25">
        <w:trPr>
          <w:trHeight w:val="864"/>
        </w:trPr>
        <w:tc>
          <w:tcPr>
            <w:tcW w:w="2880" w:type="dxa"/>
          </w:tcPr>
          <w:p w14:paraId="4B3D6280" w14:textId="77777777" w:rsidR="000F64BB" w:rsidRPr="00E870B0" w:rsidRDefault="000F64BB" w:rsidP="00850E53"/>
        </w:tc>
        <w:tc>
          <w:tcPr>
            <w:tcW w:w="2880" w:type="dxa"/>
          </w:tcPr>
          <w:p w14:paraId="0CF8A617" w14:textId="77777777" w:rsidR="000F64BB" w:rsidRPr="00E870B0" w:rsidRDefault="000F64BB" w:rsidP="00850E53"/>
        </w:tc>
        <w:tc>
          <w:tcPr>
            <w:tcW w:w="2880" w:type="dxa"/>
          </w:tcPr>
          <w:p w14:paraId="3A086ED0" w14:textId="77777777" w:rsidR="000F64BB" w:rsidRDefault="000F64BB" w:rsidP="00850E53"/>
        </w:tc>
        <w:tc>
          <w:tcPr>
            <w:tcW w:w="2880" w:type="dxa"/>
          </w:tcPr>
          <w:p w14:paraId="708FECB7" w14:textId="77777777" w:rsidR="000F64BB" w:rsidRDefault="000F64BB" w:rsidP="00850E53"/>
        </w:tc>
        <w:tc>
          <w:tcPr>
            <w:tcW w:w="2880" w:type="dxa"/>
          </w:tcPr>
          <w:p w14:paraId="5C790970" w14:textId="77777777" w:rsidR="000F64BB" w:rsidRDefault="000F64BB" w:rsidP="00850E53"/>
        </w:tc>
      </w:tr>
      <w:tr w:rsidR="000F64BB" w14:paraId="63923801" w14:textId="77777777" w:rsidTr="00A10F25">
        <w:trPr>
          <w:trHeight w:val="864"/>
        </w:trPr>
        <w:tc>
          <w:tcPr>
            <w:tcW w:w="2880" w:type="dxa"/>
          </w:tcPr>
          <w:p w14:paraId="08E2F49D" w14:textId="77777777" w:rsidR="000F64BB" w:rsidRDefault="000F64BB" w:rsidP="00850E53"/>
        </w:tc>
        <w:tc>
          <w:tcPr>
            <w:tcW w:w="2880" w:type="dxa"/>
          </w:tcPr>
          <w:p w14:paraId="05CEEE40" w14:textId="77777777" w:rsidR="000F64BB" w:rsidRDefault="000F64BB" w:rsidP="00850E53"/>
        </w:tc>
        <w:tc>
          <w:tcPr>
            <w:tcW w:w="2880" w:type="dxa"/>
          </w:tcPr>
          <w:p w14:paraId="6E96BE1A" w14:textId="77777777" w:rsidR="000F64BB" w:rsidRDefault="000F64BB" w:rsidP="00850E53"/>
        </w:tc>
        <w:tc>
          <w:tcPr>
            <w:tcW w:w="2880" w:type="dxa"/>
          </w:tcPr>
          <w:p w14:paraId="2807D5C5" w14:textId="77777777" w:rsidR="000F64BB" w:rsidRDefault="000F64BB" w:rsidP="00850E53"/>
        </w:tc>
        <w:tc>
          <w:tcPr>
            <w:tcW w:w="2880" w:type="dxa"/>
          </w:tcPr>
          <w:p w14:paraId="4FA0B6D0" w14:textId="77777777" w:rsidR="000F64BB" w:rsidRDefault="000F64BB" w:rsidP="00850E53"/>
        </w:tc>
      </w:tr>
      <w:tr w:rsidR="000F64BB" w14:paraId="51A9A348" w14:textId="77777777" w:rsidTr="00A10F25">
        <w:trPr>
          <w:trHeight w:val="864"/>
        </w:trPr>
        <w:tc>
          <w:tcPr>
            <w:tcW w:w="2880" w:type="dxa"/>
          </w:tcPr>
          <w:p w14:paraId="7B7B7486" w14:textId="77777777" w:rsidR="000F64BB" w:rsidRDefault="000F64BB" w:rsidP="00850E53"/>
        </w:tc>
        <w:tc>
          <w:tcPr>
            <w:tcW w:w="2880" w:type="dxa"/>
          </w:tcPr>
          <w:p w14:paraId="4A3223AD" w14:textId="77777777" w:rsidR="000F64BB" w:rsidRDefault="000F64BB" w:rsidP="00850E53"/>
        </w:tc>
        <w:tc>
          <w:tcPr>
            <w:tcW w:w="2880" w:type="dxa"/>
          </w:tcPr>
          <w:p w14:paraId="008F8C60" w14:textId="77777777" w:rsidR="000F64BB" w:rsidRDefault="000F64BB" w:rsidP="00850E53"/>
        </w:tc>
        <w:tc>
          <w:tcPr>
            <w:tcW w:w="2880" w:type="dxa"/>
          </w:tcPr>
          <w:p w14:paraId="1E090144" w14:textId="77777777" w:rsidR="000F64BB" w:rsidRDefault="000F64BB" w:rsidP="00850E53"/>
        </w:tc>
        <w:tc>
          <w:tcPr>
            <w:tcW w:w="2880" w:type="dxa"/>
          </w:tcPr>
          <w:p w14:paraId="5A823EA2" w14:textId="77777777" w:rsidR="000F64BB" w:rsidRDefault="000F64BB" w:rsidP="00850E53"/>
        </w:tc>
      </w:tr>
    </w:tbl>
    <w:p w14:paraId="73E9DBD1" w14:textId="77777777" w:rsidR="000F64BB" w:rsidRDefault="000F64BB" w:rsidP="00850E53">
      <w:pPr>
        <w:sectPr w:rsidR="000F64BB" w:rsidSect="008A33BD">
          <w:headerReference w:type="default" r:id="rId26"/>
          <w:footerReference w:type="default" r:id="rId27"/>
          <w:pgSz w:w="12240" w:h="15840"/>
          <w:pgMar w:top="1440" w:right="1440" w:bottom="1440" w:left="1440" w:header="720" w:footer="432" w:gutter="0"/>
          <w:cols w:space="720"/>
          <w:docGrid w:linePitch="360"/>
        </w:sectPr>
      </w:pPr>
    </w:p>
    <w:p w14:paraId="6DA2D8E2" w14:textId="77777777" w:rsidR="000F64BB" w:rsidRDefault="000F64BB" w:rsidP="00A10F25">
      <w:pPr>
        <w:pStyle w:val="BodyText"/>
        <w:spacing w:after="120"/>
      </w:pPr>
      <w:r>
        <w:lastRenderedPageBreak/>
        <w:t xml:space="preserve">Use this box to provide any additional insights you learned from completing this process or provide any additional information you think is necessary to understanding your plan. </w:t>
      </w:r>
    </w:p>
    <w:tbl>
      <w:tblPr>
        <w:tblStyle w:val="TexasToolkittable1"/>
        <w:tblW w:w="9544" w:type="dxa"/>
        <w:tblLook w:val="0600" w:firstRow="0" w:lastRow="0" w:firstColumn="0" w:lastColumn="0" w:noHBand="1" w:noVBand="1"/>
      </w:tblPr>
      <w:tblGrid>
        <w:gridCol w:w="9544"/>
      </w:tblGrid>
      <w:tr w:rsidR="000F64BB" w14:paraId="654D0CC1" w14:textId="77777777" w:rsidTr="00A10F25">
        <w:trPr>
          <w:trHeight w:val="10232"/>
        </w:trPr>
        <w:tc>
          <w:tcPr>
            <w:tcW w:w="9544" w:type="dxa"/>
          </w:tcPr>
          <w:p w14:paraId="1B674EF7" w14:textId="77777777" w:rsidR="000F64BB" w:rsidRDefault="000F64BB" w:rsidP="00850E53">
            <w:pPr>
              <w:pStyle w:val="CommentText"/>
            </w:pPr>
          </w:p>
        </w:tc>
      </w:tr>
    </w:tbl>
    <w:p w14:paraId="57EF3CB3" w14:textId="77777777" w:rsidR="008954ED" w:rsidRDefault="008954ED" w:rsidP="00A10F25">
      <w:pPr>
        <w:pStyle w:val="CommentText"/>
      </w:pPr>
    </w:p>
    <w:p w14:paraId="0FF89125" w14:textId="77777777" w:rsidR="004F3735" w:rsidRDefault="004F3735">
      <w:pPr>
        <w:spacing w:after="160"/>
        <w:sectPr w:rsidR="004F3735" w:rsidSect="00FA7BAC">
          <w:headerReference w:type="default" r:id="rId28"/>
          <w:footerReference w:type="default" r:id="rId29"/>
          <w:headerReference w:type="first" r:id="rId30"/>
          <w:pgSz w:w="12240" w:h="15840"/>
          <w:pgMar w:top="1440" w:right="1440" w:bottom="1440" w:left="1440" w:header="720" w:footer="432" w:gutter="0"/>
          <w:cols w:space="720"/>
          <w:titlePg/>
          <w:docGrid w:linePitch="360"/>
        </w:sectPr>
      </w:pPr>
    </w:p>
    <w:p w14:paraId="65E75DC0" w14:textId="77777777" w:rsidR="001105E2" w:rsidRDefault="0067787A" w:rsidP="0067787A">
      <w:pPr>
        <w:pStyle w:val="Heading1"/>
      </w:pPr>
      <w:r>
        <w:lastRenderedPageBreak/>
        <w:t>Appendix</w:t>
      </w:r>
    </w:p>
    <w:p w14:paraId="6120E17E" w14:textId="2BFA1749" w:rsidR="00A21929" w:rsidRDefault="0067787A" w:rsidP="00117362">
      <w:pPr>
        <w:pStyle w:val="TableTitle"/>
      </w:pPr>
      <w:r>
        <w:t>List of Resources</w:t>
      </w:r>
      <w:r w:rsidR="00794537">
        <w:t xml:space="preserve"> to Support Local Equity Plan Development,</w:t>
      </w:r>
      <w:r w:rsidR="00A21929">
        <w:t xml:space="preserve"> by Topic Area</w:t>
      </w:r>
    </w:p>
    <w:tbl>
      <w:tblPr>
        <w:tblStyle w:val="TexasToolkittable1"/>
        <w:tblW w:w="5291" w:type="pct"/>
        <w:tblLook w:val="04A0" w:firstRow="1" w:lastRow="0" w:firstColumn="1" w:lastColumn="0" w:noHBand="0" w:noVBand="1"/>
      </w:tblPr>
      <w:tblGrid>
        <w:gridCol w:w="1593"/>
        <w:gridCol w:w="8809"/>
      </w:tblGrid>
      <w:tr w:rsidR="00526F2C" w14:paraId="41BBDE98" w14:textId="77777777" w:rsidTr="00CC368C">
        <w:trPr>
          <w:cnfStyle w:val="100000000000" w:firstRow="1" w:lastRow="0" w:firstColumn="0" w:lastColumn="0" w:oddVBand="0" w:evenVBand="0" w:oddHBand="0" w:evenHBand="0" w:firstRowFirstColumn="0" w:firstRowLastColumn="0" w:lastRowFirstColumn="0" w:lastRowLastColumn="0"/>
          <w:tblHeader/>
        </w:trPr>
        <w:tc>
          <w:tcPr>
            <w:tcW w:w="732" w:type="pct"/>
          </w:tcPr>
          <w:p w14:paraId="4577904A" w14:textId="77777777" w:rsidR="0098335A" w:rsidRDefault="0098335A" w:rsidP="00117362">
            <w:pPr>
              <w:pStyle w:val="TableColumnHeadingLeft"/>
            </w:pPr>
            <w:r>
              <w:t>Topic Area</w:t>
            </w:r>
          </w:p>
        </w:tc>
        <w:tc>
          <w:tcPr>
            <w:tcW w:w="4268" w:type="pct"/>
          </w:tcPr>
          <w:p w14:paraId="16E747D8" w14:textId="77777777" w:rsidR="0098335A" w:rsidRDefault="0098335A" w:rsidP="00117362">
            <w:pPr>
              <w:pStyle w:val="TableColumnHeadingLeft"/>
            </w:pPr>
            <w:r>
              <w:t>Resource and Link to Access Resource</w:t>
            </w:r>
          </w:p>
        </w:tc>
      </w:tr>
      <w:tr w:rsidR="00526F2C" w:rsidRPr="0098335A" w14:paraId="7032BF46" w14:textId="77777777" w:rsidTr="00CC368C">
        <w:tc>
          <w:tcPr>
            <w:tcW w:w="732" w:type="pct"/>
          </w:tcPr>
          <w:p w14:paraId="5F573EBD" w14:textId="77777777" w:rsidR="0098335A" w:rsidRPr="0098335A" w:rsidRDefault="0098335A" w:rsidP="00117362">
            <w:pPr>
              <w:pStyle w:val="TableSubheading"/>
              <w:rPr>
                <w:b/>
              </w:rPr>
            </w:pPr>
            <w:r w:rsidRPr="0098335A">
              <w:t>Every Student Succeeds Act</w:t>
            </w:r>
            <w:r>
              <w:t xml:space="preserve"> (ESSA)</w:t>
            </w:r>
          </w:p>
        </w:tc>
        <w:tc>
          <w:tcPr>
            <w:tcW w:w="4268" w:type="pct"/>
          </w:tcPr>
          <w:p w14:paraId="310ECA7A" w14:textId="2ABCA565" w:rsidR="0098335A" w:rsidRPr="00117362" w:rsidRDefault="0098335A" w:rsidP="00117362">
            <w:pPr>
              <w:pStyle w:val="TableBullet"/>
            </w:pPr>
            <w:r w:rsidRPr="00117362">
              <w:t xml:space="preserve">Information from the U.S. Department of Education </w:t>
            </w:r>
            <w:r w:rsidR="008E3FA0" w:rsidRPr="00117362">
              <w:t xml:space="preserve">(ED) </w:t>
            </w:r>
            <w:r w:rsidRPr="00117362">
              <w:t>(</w:t>
            </w:r>
            <w:hyperlink r:id="rId31" w:history="1">
              <w:r w:rsidR="00CC368C" w:rsidRPr="00F24E5F">
                <w:rPr>
                  <w:rStyle w:val="Hyperlink"/>
                </w:rPr>
                <w:t>http://www.ed.gov/essa?src=rn)</w:t>
              </w:r>
            </w:hyperlink>
            <w:r w:rsidR="004F3735" w:rsidRPr="00117362">
              <w:t>.</w:t>
            </w:r>
          </w:p>
          <w:p w14:paraId="1F7A80CA" w14:textId="77777777" w:rsidR="0098335A" w:rsidRPr="00117362" w:rsidRDefault="0098335A" w:rsidP="00117362">
            <w:pPr>
              <w:pStyle w:val="TableBullet"/>
            </w:pPr>
            <w:r w:rsidRPr="00117362">
              <w:t>Information on equity as it relates to states is included in section (1111(g</w:t>
            </w:r>
            <w:proofErr w:type="gramStart"/>
            <w:r w:rsidRPr="00117362">
              <w:t>)(</w:t>
            </w:r>
            <w:proofErr w:type="gramEnd"/>
            <w:r w:rsidRPr="00117362">
              <w:t xml:space="preserve">1)(B)). </w:t>
            </w:r>
          </w:p>
          <w:p w14:paraId="05CEF8FD" w14:textId="31D59571" w:rsidR="0098335A" w:rsidRPr="00117362" w:rsidRDefault="0098335A" w:rsidP="00117362">
            <w:pPr>
              <w:pStyle w:val="TableBullet"/>
              <w:rPr>
                <w:sz w:val="22"/>
              </w:rPr>
            </w:pPr>
            <w:r w:rsidRPr="00117362">
              <w:t>Information on equity as it relates to districts is included in section (1112(b</w:t>
            </w:r>
            <w:proofErr w:type="gramStart"/>
            <w:r w:rsidRPr="00117362">
              <w:t>)(</w:t>
            </w:r>
            <w:proofErr w:type="gramEnd"/>
            <w:r w:rsidRPr="00117362">
              <w:t>2)).</w:t>
            </w:r>
          </w:p>
        </w:tc>
      </w:tr>
      <w:tr w:rsidR="00645BCD" w:rsidRPr="00A2623B" w14:paraId="41257587" w14:textId="77777777" w:rsidTr="00CC368C">
        <w:trPr>
          <w:cnfStyle w:val="000000010000" w:firstRow="0" w:lastRow="0" w:firstColumn="0" w:lastColumn="0" w:oddVBand="0" w:evenVBand="0" w:oddHBand="0" w:evenHBand="1" w:firstRowFirstColumn="0" w:firstRowLastColumn="0" w:lastRowFirstColumn="0" w:lastRowLastColumn="0"/>
          <w:trHeight w:val="1646"/>
        </w:trPr>
        <w:tc>
          <w:tcPr>
            <w:tcW w:w="732" w:type="pct"/>
          </w:tcPr>
          <w:p w14:paraId="65E0D790" w14:textId="77777777" w:rsidR="00645BCD" w:rsidRPr="00A2623B" w:rsidRDefault="00645BCD" w:rsidP="00117362">
            <w:pPr>
              <w:pStyle w:val="TableSubheading"/>
              <w:rPr>
                <w:b/>
              </w:rPr>
            </w:pPr>
            <w:r w:rsidRPr="00A2623B">
              <w:t>Equity Plans</w:t>
            </w:r>
          </w:p>
        </w:tc>
        <w:tc>
          <w:tcPr>
            <w:tcW w:w="4268" w:type="pct"/>
          </w:tcPr>
          <w:p w14:paraId="7DBAA851" w14:textId="52CC877C" w:rsidR="00A2623B" w:rsidRPr="00117362" w:rsidRDefault="00A2623B" w:rsidP="00117362">
            <w:pPr>
              <w:pStyle w:val="TableBullet"/>
            </w:pPr>
            <w:r w:rsidRPr="00117362">
              <w:t>State Equity Plans</w:t>
            </w:r>
            <w:r w:rsidR="00063BAA" w:rsidRPr="00117362">
              <w:t>—</w:t>
            </w:r>
            <w:r w:rsidRPr="00117362">
              <w:t xml:space="preserve">plans submitted by all of the states </w:t>
            </w:r>
            <w:r w:rsidR="00964B5C" w:rsidRPr="00117362">
              <w:t xml:space="preserve">to ED in 2015 </w:t>
            </w:r>
            <w:r w:rsidRPr="00117362">
              <w:t>(</w:t>
            </w:r>
            <w:hyperlink r:id="rId32" w:history="1">
              <w:r w:rsidRPr="00117362">
                <w:rPr>
                  <w:rStyle w:val="Hyperlink"/>
                </w:rPr>
                <w:t>https://www2.ed.gov/programs/titleiparta/resources.html</w:t>
              </w:r>
            </w:hyperlink>
            <w:r w:rsidRPr="00117362">
              <w:t>)</w:t>
            </w:r>
            <w:r w:rsidR="004F3735" w:rsidRPr="00117362">
              <w:t>.</w:t>
            </w:r>
          </w:p>
          <w:p w14:paraId="0E111A2A" w14:textId="3319CF18" w:rsidR="00782B58" w:rsidRPr="00A2623B" w:rsidRDefault="00AE5867" w:rsidP="00CC368C">
            <w:pPr>
              <w:pStyle w:val="TableBullet"/>
            </w:pPr>
            <w:r w:rsidRPr="00117362">
              <w:t>Texas 2015 Equity Plan (</w:t>
            </w:r>
            <w:hyperlink r:id="rId33" w:history="1">
              <w:r w:rsidR="00782B58" w:rsidRPr="00117362">
                <w:rPr>
                  <w:rStyle w:val="Hyperlink"/>
                </w:rPr>
                <w:t>http://tea.texas.gov/About_TEA/Laws_and_Rules/NCLB_and_ESEA/Title_I,_Part_A_-_Improving_Basic_Programs/State_Plan_To_Ensure_Equitable_Access_to_Excellent_Educators/</w:t>
              </w:r>
              <w:r w:rsidR="00782B58" w:rsidRPr="00117362">
                <w:rPr>
                  <w:rStyle w:val="Hyperlink"/>
                  <w:color w:val="auto"/>
                  <w:u w:val="none"/>
                </w:rPr>
                <w:t>)</w:t>
              </w:r>
            </w:hyperlink>
            <w:r w:rsidR="004F3735" w:rsidRPr="00117362">
              <w:t>.</w:t>
            </w:r>
          </w:p>
        </w:tc>
      </w:tr>
      <w:tr w:rsidR="00526F2C" w14:paraId="1AEFD47E" w14:textId="77777777" w:rsidTr="00CC368C">
        <w:tc>
          <w:tcPr>
            <w:tcW w:w="732" w:type="pct"/>
          </w:tcPr>
          <w:p w14:paraId="551AA5B1" w14:textId="77777777" w:rsidR="0098335A" w:rsidRPr="00957804" w:rsidRDefault="0098335A" w:rsidP="00117362">
            <w:pPr>
              <w:pStyle w:val="TableSubheading"/>
              <w:rPr>
                <w:b/>
              </w:rPr>
            </w:pPr>
            <w:r w:rsidRPr="00957804">
              <w:t xml:space="preserve">Engaging and Communicating with Stakeholders </w:t>
            </w:r>
          </w:p>
        </w:tc>
        <w:tc>
          <w:tcPr>
            <w:tcW w:w="4268" w:type="pct"/>
          </w:tcPr>
          <w:p w14:paraId="7A53557B" w14:textId="77777777" w:rsidR="0098335A" w:rsidRDefault="0098335A" w:rsidP="00117362">
            <w:pPr>
              <w:pStyle w:val="TableBullet"/>
            </w:pPr>
            <w:r w:rsidRPr="0098335A">
              <w:t>The Center on Great Teachers and Leaders (GTL Center) has developed sample stakeholder engagement meeting agendas for various formats</w:t>
            </w:r>
            <w:r>
              <w:t xml:space="preserve"> (</w:t>
            </w:r>
            <w:hyperlink r:id="rId34" w:history="1">
              <w:r w:rsidR="00535414" w:rsidRPr="00C75EBF">
                <w:rPr>
                  <w:rStyle w:val="Hyperlink"/>
                </w:rPr>
                <w:t>http://www.gtlcenter.org/sites/default/files/GTL_Resource_04_Agendas-ed-fmt.doc)</w:t>
              </w:r>
            </w:hyperlink>
            <w:r w:rsidR="004F3735">
              <w:t>.</w:t>
            </w:r>
          </w:p>
          <w:p w14:paraId="6A035C3F" w14:textId="77777777" w:rsidR="00535414" w:rsidRDefault="00535414" w:rsidP="00117362">
            <w:pPr>
              <w:pStyle w:val="TableBullet"/>
            </w:pPr>
            <w:r>
              <w:t xml:space="preserve">Communications planning </w:t>
            </w:r>
            <w:r w:rsidR="00FD7D1E">
              <w:t xml:space="preserve">resource from the GTL Center </w:t>
            </w:r>
            <w:r>
              <w:t>(</w:t>
            </w:r>
            <w:hyperlink r:id="rId35" w:history="1">
              <w:r w:rsidR="00FD7D1E" w:rsidRPr="00C75EBF">
                <w:rPr>
                  <w:rStyle w:val="Hyperlink"/>
                </w:rPr>
                <w:t>http://www.gtlcenter.org/sites/default/files/Communication_Guidebook.pdf)</w:t>
              </w:r>
            </w:hyperlink>
            <w:r w:rsidR="004F3735">
              <w:t>.</w:t>
            </w:r>
          </w:p>
          <w:p w14:paraId="1DF6D3CD" w14:textId="1D03CDBE" w:rsidR="00FD7D1E" w:rsidRDefault="00FD7D1E" w:rsidP="00117362">
            <w:pPr>
              <w:pStyle w:val="TableBullet"/>
            </w:pPr>
            <w:r>
              <w:t>Developing key messages</w:t>
            </w:r>
            <w:r w:rsidR="00063BAA">
              <w:t>—</w:t>
            </w:r>
            <w:r>
              <w:t>Ideas and suggestions from the GTL Center (</w:t>
            </w:r>
            <w:hyperlink r:id="rId36" w:history="1">
              <w:r w:rsidRPr="00C75EBF">
                <w:rPr>
                  <w:rStyle w:val="Hyperlink"/>
                </w:rPr>
                <w:t>http://www.gtlcenter.org/sites/default/files/Communication_Guidebook.pdf)</w:t>
              </w:r>
            </w:hyperlink>
            <w:r w:rsidR="004F3735">
              <w:t>.</w:t>
            </w:r>
          </w:p>
          <w:p w14:paraId="21281D11" w14:textId="7B171BAF" w:rsidR="00FD7D1E" w:rsidRPr="00957804" w:rsidRDefault="00FD7D1E" w:rsidP="00117362">
            <w:pPr>
              <w:pStyle w:val="TableBullet"/>
            </w:pPr>
            <w:r>
              <w:t>Gathering stakeholder feedback with a feedback form from the GTL Center that districts can use or repurpose (</w:t>
            </w:r>
            <w:hyperlink r:id="rId37" w:history="1">
              <w:r w:rsidRPr="009A78CB">
                <w:rPr>
                  <w:rStyle w:val="Hyperlink"/>
                </w:rPr>
                <w:t>http://www.gtlcenter.org/sites/default/files/GTL_Resource_05_IncorpFeedback-ed-fmt.doc</w:t>
              </w:r>
            </w:hyperlink>
            <w:r>
              <w:t>)</w:t>
            </w:r>
            <w:r w:rsidR="004F3735">
              <w:t>.</w:t>
            </w:r>
          </w:p>
        </w:tc>
      </w:tr>
      <w:tr w:rsidR="00526F2C" w14:paraId="242D2EED" w14:textId="77777777" w:rsidTr="00CC368C">
        <w:trPr>
          <w:cnfStyle w:val="000000010000" w:firstRow="0" w:lastRow="0" w:firstColumn="0" w:lastColumn="0" w:oddVBand="0" w:evenVBand="0" w:oddHBand="0" w:evenHBand="1" w:firstRowFirstColumn="0" w:firstRowLastColumn="0" w:lastRowFirstColumn="0" w:lastRowLastColumn="0"/>
        </w:trPr>
        <w:tc>
          <w:tcPr>
            <w:tcW w:w="732" w:type="pct"/>
          </w:tcPr>
          <w:p w14:paraId="7DB7ABE7" w14:textId="77777777" w:rsidR="0098335A" w:rsidRPr="00957804" w:rsidRDefault="0098335A" w:rsidP="00117362">
            <w:pPr>
              <w:pStyle w:val="TableSubheading"/>
              <w:rPr>
                <w:b/>
              </w:rPr>
            </w:pPr>
            <w:r>
              <w:t>Reviewing and Analyzing Data</w:t>
            </w:r>
          </w:p>
        </w:tc>
        <w:tc>
          <w:tcPr>
            <w:tcW w:w="4268" w:type="pct"/>
          </w:tcPr>
          <w:p w14:paraId="0A4ABDB9" w14:textId="77777777" w:rsidR="0098335A" w:rsidRDefault="008E3FA0" w:rsidP="00117362">
            <w:pPr>
              <w:pStyle w:val="TableBullet"/>
            </w:pPr>
            <w:r>
              <w:t xml:space="preserve">ED definition </w:t>
            </w:r>
            <w:r w:rsidR="00AA73FA">
              <w:t>of</w:t>
            </w:r>
            <w:r>
              <w:t xml:space="preserve"> “out-of-field” teachers (</w:t>
            </w:r>
            <w:hyperlink r:id="rId38" w:history="1">
              <w:r w:rsidRPr="00C75EBF">
                <w:rPr>
                  <w:rStyle w:val="Hyperlink"/>
                </w:rPr>
                <w:t>https://www2.ed.gov/policy/elsec/leg/esea02/pg20.html)</w:t>
              </w:r>
            </w:hyperlink>
            <w:r w:rsidR="004F3735">
              <w:t>.</w:t>
            </w:r>
          </w:p>
          <w:p w14:paraId="705D1EF9" w14:textId="13842274" w:rsidR="008E3FA0" w:rsidRDefault="008E3FA0" w:rsidP="00117362">
            <w:pPr>
              <w:pStyle w:val="TableBullet"/>
            </w:pPr>
            <w:r>
              <w:t>Best practices in defining an “ineffective” teacher. Resource from the GTL</w:t>
            </w:r>
            <w:r w:rsidR="00AA73FA">
              <w:t xml:space="preserve"> Center</w:t>
            </w:r>
            <w:r>
              <w:t xml:space="preserve"> </w:t>
            </w:r>
            <w:r w:rsidRPr="008E3FA0">
              <w:rPr>
                <w:i/>
              </w:rPr>
              <w:t>Teacher Effectiveness in the Every Student Succeeds Act: A Discussion Guide</w:t>
            </w:r>
            <w:r>
              <w:t xml:space="preserve"> (</w:t>
            </w:r>
            <w:hyperlink r:id="rId39" w:history="1">
              <w:r w:rsidR="00526F2C" w:rsidRPr="009A78CB">
                <w:rPr>
                  <w:rStyle w:val="Hyperlink"/>
                </w:rPr>
                <w:t>http://www.gtlcenter.org/sites/default/files/TeacherEffectiveness_ESSA.pdf</w:t>
              </w:r>
            </w:hyperlink>
            <w:r w:rsidR="00526F2C">
              <w:t>)</w:t>
            </w:r>
            <w:r w:rsidR="004F3735">
              <w:t>.</w:t>
            </w:r>
          </w:p>
          <w:p w14:paraId="3F7A1C36" w14:textId="77777777" w:rsidR="008E3FA0" w:rsidRDefault="00526F2C" w:rsidP="00117362">
            <w:pPr>
              <w:pStyle w:val="TableBullet"/>
            </w:pPr>
            <w:r>
              <w:t>The</w:t>
            </w:r>
            <w:r w:rsidR="008E3FA0">
              <w:t xml:space="preserve"> reference </w:t>
            </w:r>
            <w:r>
              <w:t xml:space="preserve">above </w:t>
            </w:r>
            <w:r w:rsidR="008E3FA0">
              <w:t xml:space="preserve">also </w:t>
            </w:r>
            <w:r>
              <w:t>helps</w:t>
            </w:r>
            <w:r w:rsidR="008E3FA0">
              <w:t xml:space="preserve"> guide consideration of the role district resources, including time, money, and educator engagement, play in the decision-making process in defining effective teaching.</w:t>
            </w:r>
          </w:p>
          <w:p w14:paraId="4A9910DE" w14:textId="77777777" w:rsidR="008E3FA0" w:rsidRDefault="00526F2C" w:rsidP="00117362">
            <w:pPr>
              <w:pStyle w:val="TableBullet"/>
            </w:pPr>
            <w:r>
              <w:t xml:space="preserve">Texas Data Checklist (list of data elements </w:t>
            </w:r>
            <w:r w:rsidRPr="00526F2C">
              <w:t>available to most districts in Texas</w:t>
            </w:r>
            <w:r>
              <w:t>; LINK TBD)</w:t>
            </w:r>
            <w:r w:rsidR="004F3735">
              <w:t>.</w:t>
            </w:r>
          </w:p>
          <w:p w14:paraId="6D28F8E6" w14:textId="77777777" w:rsidR="00526F2C" w:rsidRDefault="00526F2C" w:rsidP="00117362">
            <w:pPr>
              <w:pStyle w:val="TableBullet"/>
            </w:pPr>
            <w:r>
              <w:t xml:space="preserve">Data from the </w:t>
            </w:r>
            <w:r w:rsidRPr="00526F2C">
              <w:t>Public Education Information Management System (PEIMS) (2015–2016)</w:t>
            </w:r>
            <w:r>
              <w:t xml:space="preserve"> sources</w:t>
            </w:r>
            <w:r w:rsidRPr="00526F2C">
              <w:t>. Code tables</w:t>
            </w:r>
            <w:r>
              <w:t xml:space="preserve"> available at </w:t>
            </w:r>
            <w:hyperlink r:id="rId40" w:history="1">
              <w:r w:rsidRPr="00C75EBF">
                <w:rPr>
                  <w:rStyle w:val="Hyperlink"/>
                </w:rPr>
                <w:t>http://ritter.tea.state.tx.us/peims/standards/weds/</w:t>
              </w:r>
            </w:hyperlink>
            <w:r w:rsidR="004F3735">
              <w:t>.</w:t>
            </w:r>
          </w:p>
          <w:p w14:paraId="57E1911B" w14:textId="2CF9F030" w:rsidR="00526F2C" w:rsidRDefault="00526F2C" w:rsidP="00117362">
            <w:pPr>
              <w:pStyle w:val="TableBullet"/>
            </w:pPr>
            <w:r>
              <w:t>Definition of person of color</w:t>
            </w:r>
            <w:r w:rsidR="00063BAA">
              <w:t>—</w:t>
            </w:r>
            <w:r w:rsidRPr="00526F2C">
              <w:t>New Ox</w:t>
            </w:r>
            <w:r>
              <w:t>ford American Dictionary (2015) definition is</w:t>
            </w:r>
            <w:r w:rsidRPr="00526F2C">
              <w:t xml:space="preserve"> a person of color is a person who is not White or of European parentage (</w:t>
            </w:r>
            <w:hyperlink r:id="rId41" w:history="1">
              <w:r w:rsidRPr="00C75EBF">
                <w:rPr>
                  <w:rStyle w:val="Hyperlink"/>
                </w:rPr>
                <w:t>https://en.oxforddictionaries.com/definition/us/person_of_color)</w:t>
              </w:r>
            </w:hyperlink>
            <w:r w:rsidRPr="00526F2C">
              <w:t>.</w:t>
            </w:r>
          </w:p>
          <w:p w14:paraId="038894E6" w14:textId="0B803549" w:rsidR="00C869DA" w:rsidRDefault="00C869DA" w:rsidP="00117362">
            <w:pPr>
              <w:pStyle w:val="TableBullet"/>
            </w:pPr>
            <w:r w:rsidRPr="00C869DA">
              <w:t>The PEIMS 110 record includes an “at-risk indicator code</w:t>
            </w:r>
            <w:r w:rsidR="00063BAA">
              <w:t>.</w:t>
            </w:r>
            <w:r w:rsidRPr="00C869DA">
              <w:t xml:space="preserve">” This code indicates whether a student </w:t>
            </w:r>
            <w:proofErr w:type="gramStart"/>
            <w:r w:rsidRPr="00C869DA">
              <w:t>is currently identified</w:t>
            </w:r>
            <w:proofErr w:type="gramEnd"/>
            <w:r w:rsidRPr="00C869DA">
              <w:t xml:space="preserve"> as at-risk of dropping out of school using state-defined criteria that are based on whether the student meets one or more of 13 criteria. For more information, please visit </w:t>
            </w:r>
            <w:hyperlink r:id="rId42" w:history="1">
              <w:r w:rsidR="00AB118B" w:rsidRPr="00C63BF0">
                <w:rPr>
                  <w:rStyle w:val="Hyperlink"/>
                </w:rPr>
                <w:t>http://ritter.tea.state.tx.us/peims/standards/weds/</w:t>
              </w:r>
            </w:hyperlink>
            <w:r w:rsidRPr="00C869DA">
              <w:t>.</w:t>
            </w:r>
          </w:p>
          <w:p w14:paraId="29C4F819" w14:textId="303E6B5E" w:rsidR="00AB118B" w:rsidRDefault="00AB118B" w:rsidP="00117362">
            <w:pPr>
              <w:pStyle w:val="TableBullet"/>
            </w:pPr>
            <w:r w:rsidRPr="00AB118B">
              <w:t>Chronic absenteeism refers to excessive absences during the school year while truancy refers to a certain number or certain frequency of unexcused absences. In Texas, chronic absenteeism generally refers to a student who is absent for 10</w:t>
            </w:r>
            <w:r w:rsidR="00063BAA">
              <w:t xml:space="preserve">% </w:t>
            </w:r>
            <w:r w:rsidRPr="00AB118B">
              <w:t xml:space="preserve">or more of the days school is offered (see Texas. Education Code §25.092; </w:t>
            </w:r>
            <w:hyperlink r:id="rId43" w:history="1">
              <w:r w:rsidRPr="009A78CB">
                <w:rPr>
                  <w:rStyle w:val="Hyperlink"/>
                </w:rPr>
                <w:t>http://www.statutes.legis.state.tx.us/?link=ED</w:t>
              </w:r>
            </w:hyperlink>
            <w:r w:rsidRPr="00AB118B">
              <w:t xml:space="preserve">). Truant conduct is defined as failing to attend school without an excuse on 10 or more days or parts of days within a </w:t>
            </w:r>
            <w:r w:rsidR="00063BAA">
              <w:t>6</w:t>
            </w:r>
            <w:r w:rsidRPr="00AB118B">
              <w:t xml:space="preserve">-month period in the same school year (see Texas Family Code §65.003(a); </w:t>
            </w:r>
            <w:hyperlink r:id="rId44" w:history="1">
              <w:r w:rsidRPr="009A78CB">
                <w:rPr>
                  <w:rStyle w:val="Hyperlink"/>
                </w:rPr>
                <w:t>http://www.statutes.legis.state.tx.us/Docs/FA/htm/FA.65.htm</w:t>
              </w:r>
            </w:hyperlink>
            <w:r w:rsidRPr="00AB118B">
              <w:t>).</w:t>
            </w:r>
          </w:p>
          <w:p w14:paraId="046EA7EF" w14:textId="3DFAF725" w:rsidR="00526F2C" w:rsidRPr="00957804" w:rsidRDefault="00526F2C" w:rsidP="00117362">
            <w:pPr>
              <w:pStyle w:val="TableBullet"/>
            </w:pPr>
            <w:r>
              <w:lastRenderedPageBreak/>
              <w:t xml:space="preserve">Research on </w:t>
            </w:r>
            <w:r w:rsidRPr="00526F2C">
              <w:t>within campus inequitable student access to effective teachers</w:t>
            </w:r>
            <w:r w:rsidR="009A78CB">
              <w:t>—</w:t>
            </w:r>
            <w:proofErr w:type="spellStart"/>
            <w:r w:rsidRPr="00526F2C">
              <w:t>Goldhaber</w:t>
            </w:r>
            <w:proofErr w:type="spellEnd"/>
            <w:r w:rsidRPr="00526F2C">
              <w:t xml:space="preserve">, D., </w:t>
            </w:r>
            <w:proofErr w:type="spellStart"/>
            <w:r w:rsidRPr="00526F2C">
              <w:t>Lavery</w:t>
            </w:r>
            <w:proofErr w:type="spellEnd"/>
            <w:r w:rsidRPr="00526F2C">
              <w:t xml:space="preserve">, L., &amp; Theobald, R. (2014). </w:t>
            </w:r>
            <w:r w:rsidRPr="00063BAA">
              <w:rPr>
                <w:i/>
              </w:rPr>
              <w:t>Uneven playing field? Assessing the inequity of teacher characteristics and measured performance across students</w:t>
            </w:r>
            <w:r w:rsidRPr="00526F2C">
              <w:t xml:space="preserve"> (CEDR Working Paper 2014-14). Seattle: University of Washington. Retrieved from </w:t>
            </w:r>
            <w:hyperlink r:id="rId45" w:history="1">
              <w:r w:rsidRPr="009A78CB">
                <w:rPr>
                  <w:rStyle w:val="Hyperlink"/>
                </w:rPr>
                <w:t>http://www.cedr.us/papers/working/CEDR%20WP%202014-4.pdf</w:t>
              </w:r>
            </w:hyperlink>
            <w:r w:rsidR="004F3735">
              <w:t>.</w:t>
            </w:r>
          </w:p>
        </w:tc>
      </w:tr>
      <w:tr w:rsidR="00526F2C" w14:paraId="477250FA" w14:textId="77777777" w:rsidTr="00CC368C">
        <w:tc>
          <w:tcPr>
            <w:tcW w:w="732" w:type="pct"/>
          </w:tcPr>
          <w:p w14:paraId="746E0F4A" w14:textId="77777777" w:rsidR="0098335A" w:rsidRPr="00957804" w:rsidRDefault="0098335A" w:rsidP="00117362">
            <w:pPr>
              <w:pStyle w:val="TableSubheading"/>
              <w:rPr>
                <w:b/>
              </w:rPr>
            </w:pPr>
            <w:r>
              <w:lastRenderedPageBreak/>
              <w:t>Conducting a Root Cause Analysis</w:t>
            </w:r>
          </w:p>
        </w:tc>
        <w:tc>
          <w:tcPr>
            <w:tcW w:w="4268" w:type="pct"/>
          </w:tcPr>
          <w:p w14:paraId="3D4D77E1" w14:textId="5FE81138" w:rsidR="00C71962" w:rsidRDefault="00C71962" w:rsidP="00117362">
            <w:pPr>
              <w:pStyle w:val="TableBullet"/>
            </w:pPr>
            <w:r>
              <w:t>Problems of Practice Related to Talent Management</w:t>
            </w:r>
            <w:r w:rsidR="00063BAA">
              <w:t>—</w:t>
            </w:r>
            <w:proofErr w:type="gramStart"/>
            <w:r>
              <w:t>As</w:t>
            </w:r>
            <w:proofErr w:type="gramEnd"/>
            <w:r>
              <w:t xml:space="preserve"> districts explore the root causes of their equity gaps, it may be helpful to carefully examine current talent management strategies, policies, and practices and consider how they may be supporting or hindering equitable access. The following GTL Center resources and tools can help districts as they consider how their current approaches support attracting, supporting, and retaining excellent educators in their highest need campuses.</w:t>
            </w:r>
          </w:p>
          <w:p w14:paraId="5FFCBF17" w14:textId="77777777" w:rsidR="0098335A" w:rsidRDefault="00C71962" w:rsidP="00196D44">
            <w:pPr>
              <w:pStyle w:val="TableBullet"/>
              <w:numPr>
                <w:ilvl w:val="1"/>
                <w:numId w:val="14"/>
              </w:numPr>
            </w:pPr>
            <w:r>
              <w:t>Talent Development Framework (</w:t>
            </w:r>
            <w:hyperlink r:id="rId46" w:history="1">
              <w:r w:rsidRPr="00C75EBF">
                <w:rPr>
                  <w:rStyle w:val="Hyperlink"/>
                </w:rPr>
                <w:t>http://www.gtlcenter.org/sites/default/files/14-2591_GTL_Talent_Dev_Framework-ed_110714.pdf)</w:t>
              </w:r>
            </w:hyperlink>
            <w:r w:rsidR="004F3735">
              <w:t>.</w:t>
            </w:r>
          </w:p>
          <w:p w14:paraId="7E3BB2B6" w14:textId="77777777" w:rsidR="00C71962" w:rsidRDefault="00C71962" w:rsidP="00196D44">
            <w:pPr>
              <w:pStyle w:val="TableBullet"/>
              <w:numPr>
                <w:ilvl w:val="1"/>
                <w:numId w:val="14"/>
              </w:numPr>
            </w:pPr>
            <w:r>
              <w:t>Creating Coherence and Alignment Tool (</w:t>
            </w:r>
            <w:hyperlink r:id="rId47" w:history="1">
              <w:r w:rsidRPr="00C75EBF">
                <w:rPr>
                  <w:rStyle w:val="Hyperlink"/>
                </w:rPr>
                <w:t>http://www.gtlcenter.org/sites/default/files/Coherence_Alignment_Tool.pdf)</w:t>
              </w:r>
            </w:hyperlink>
            <w:r w:rsidR="004F3735">
              <w:t>.</w:t>
            </w:r>
          </w:p>
          <w:p w14:paraId="5343FCC2" w14:textId="77777777" w:rsidR="00C71962" w:rsidRDefault="00C71962" w:rsidP="00196D44">
            <w:pPr>
              <w:pStyle w:val="TableBullet"/>
              <w:numPr>
                <w:ilvl w:val="1"/>
                <w:numId w:val="14"/>
              </w:numPr>
            </w:pPr>
            <w:r>
              <w:t>Talent Management Strategies: Districts Self-Assessment Checklist (</w:t>
            </w:r>
            <w:hyperlink r:id="rId48" w:anchor="communities/pdc/documents/12611)" w:history="1">
              <w:r w:rsidR="003D10FC" w:rsidRPr="00C75EBF">
                <w:rPr>
                  <w:rStyle w:val="Hyperlink"/>
                </w:rPr>
                <w:t>https://easn.grads360.org/#communities/pdc/documents/12611)</w:t>
              </w:r>
            </w:hyperlink>
            <w:r w:rsidR="004F3735">
              <w:t>.</w:t>
            </w:r>
          </w:p>
          <w:p w14:paraId="72447611" w14:textId="64E975D2" w:rsidR="003D10FC" w:rsidRPr="00957804" w:rsidRDefault="00147836" w:rsidP="00117362">
            <w:pPr>
              <w:pStyle w:val="TableBullet"/>
            </w:pPr>
            <w:r>
              <w:t xml:space="preserve">After conducting a </w:t>
            </w:r>
            <w:r w:rsidR="007C3E53">
              <w:t>root cause analysis</w:t>
            </w:r>
            <w:r>
              <w:t xml:space="preserve">, districts may want to collect </w:t>
            </w:r>
            <w:r w:rsidR="00923BAF">
              <w:t xml:space="preserve">feedback from participants/stakeholders. </w:t>
            </w:r>
            <w:r w:rsidR="00923BAF" w:rsidRPr="00923BAF">
              <w:t>Your district may develop its own feedback form</w:t>
            </w:r>
            <w:r w:rsidR="007C3E53">
              <w:t xml:space="preserve">, </w:t>
            </w:r>
            <w:r w:rsidR="00923BAF" w:rsidRPr="00923BAF">
              <w:t xml:space="preserve">or you could choose to use or adapt an existing feedback form like </w:t>
            </w:r>
            <w:r w:rsidR="00923BAF">
              <w:t>the one</w:t>
            </w:r>
            <w:r w:rsidR="00923BAF" w:rsidRPr="00923BAF">
              <w:t xml:space="preserve"> developed by the </w:t>
            </w:r>
            <w:r w:rsidR="00923BAF">
              <w:t xml:space="preserve">GTL </w:t>
            </w:r>
            <w:r w:rsidR="00923BAF" w:rsidRPr="00923BAF">
              <w:t xml:space="preserve">Center </w:t>
            </w:r>
            <w:r w:rsidR="00923BAF">
              <w:t xml:space="preserve">available at </w:t>
            </w:r>
            <w:hyperlink r:id="rId49" w:history="1">
              <w:r w:rsidR="00923BAF" w:rsidRPr="000C048A">
                <w:rPr>
                  <w:rStyle w:val="Hyperlink"/>
                </w:rPr>
                <w:t>http://www.gtlcenter.org/sites/default/files/GTL_Resource_05_IncorpFeedback-ed-fmt.doc</w:t>
              </w:r>
            </w:hyperlink>
            <w:r w:rsidR="007C3E53">
              <w:t>.</w:t>
            </w:r>
          </w:p>
        </w:tc>
      </w:tr>
      <w:tr w:rsidR="00526F2C" w14:paraId="5E7635F6" w14:textId="77777777" w:rsidTr="00CC368C">
        <w:trPr>
          <w:cnfStyle w:val="000000010000" w:firstRow="0" w:lastRow="0" w:firstColumn="0" w:lastColumn="0" w:oddVBand="0" w:evenVBand="0" w:oddHBand="0" w:evenHBand="1" w:firstRowFirstColumn="0" w:firstRowLastColumn="0" w:lastRowFirstColumn="0" w:lastRowLastColumn="0"/>
        </w:trPr>
        <w:tc>
          <w:tcPr>
            <w:tcW w:w="732" w:type="pct"/>
          </w:tcPr>
          <w:p w14:paraId="079968C1" w14:textId="77777777" w:rsidR="0098335A" w:rsidRPr="00957804" w:rsidRDefault="0098335A" w:rsidP="00117362">
            <w:pPr>
              <w:pStyle w:val="TableSubheading"/>
              <w:rPr>
                <w:b/>
              </w:rPr>
            </w:pPr>
            <w:r>
              <w:t>Selecting Strategies</w:t>
            </w:r>
          </w:p>
        </w:tc>
        <w:tc>
          <w:tcPr>
            <w:tcW w:w="4268" w:type="pct"/>
          </w:tcPr>
          <w:p w14:paraId="2354771A" w14:textId="0A8A8864" w:rsidR="00FA6EF4" w:rsidRDefault="00FA6EF4" w:rsidP="00117362">
            <w:pPr>
              <w:pStyle w:val="TableBullet"/>
            </w:pPr>
            <w:r>
              <w:t>How to select strategies to address equity gaps</w:t>
            </w:r>
            <w:r w:rsidR="00AD17D7">
              <w:t>—</w:t>
            </w:r>
            <w:r>
              <w:t>The GTL Center’s Research-Supported Implementation Tips for Equitable Access Plan Strategies resource (</w:t>
            </w:r>
            <w:hyperlink r:id="rId50" w:history="1">
              <w:r w:rsidRPr="00C75EBF">
                <w:rPr>
                  <w:rStyle w:val="Hyperlink"/>
                </w:rPr>
                <w:t>http://www.gtlcenter.org/sites/default/files/Implementation_Tips.pdf)</w:t>
              </w:r>
            </w:hyperlink>
            <w:r w:rsidR="007C3E53">
              <w:t>.</w:t>
            </w:r>
          </w:p>
          <w:p w14:paraId="7A69E2C1" w14:textId="77777777" w:rsidR="00FA6EF4" w:rsidRDefault="00FA6EF4" w:rsidP="00117362">
            <w:pPr>
              <w:pStyle w:val="TableBullet"/>
            </w:pPr>
            <w:r>
              <w:t>Reviewing existing strategies may prompt some districts to consider a more comprehensive review of the alignment and coherence of their district’s policies and practices. The resources below can assist those efforts.</w:t>
            </w:r>
          </w:p>
          <w:p w14:paraId="4B2CFCCD" w14:textId="77777777" w:rsidR="00FA6EF4" w:rsidRDefault="00FA6EF4" w:rsidP="00196D44">
            <w:pPr>
              <w:pStyle w:val="TableBullet"/>
              <w:numPr>
                <w:ilvl w:val="1"/>
                <w:numId w:val="14"/>
              </w:numPr>
            </w:pPr>
            <w:r>
              <w:t>Talent Development Framework (</w:t>
            </w:r>
            <w:hyperlink r:id="rId51" w:history="1">
              <w:r w:rsidRPr="00C75EBF">
                <w:rPr>
                  <w:rStyle w:val="Hyperlink"/>
                </w:rPr>
                <w:t>http://www.gtlcenter.org/sites/default/files/14-2591_GTL_Talent_Dev_Framework-ed_110714.pdf)</w:t>
              </w:r>
            </w:hyperlink>
            <w:r>
              <w:t>.</w:t>
            </w:r>
          </w:p>
          <w:p w14:paraId="17EB1386" w14:textId="77777777" w:rsidR="00FA6EF4" w:rsidRDefault="00FA6EF4" w:rsidP="00196D44">
            <w:pPr>
              <w:pStyle w:val="TableBullet"/>
              <w:numPr>
                <w:ilvl w:val="1"/>
                <w:numId w:val="14"/>
              </w:numPr>
            </w:pPr>
            <w:r>
              <w:t>Creating Coherence and Alignment Tool (</w:t>
            </w:r>
            <w:hyperlink r:id="rId52" w:history="1">
              <w:r w:rsidRPr="00C75EBF">
                <w:rPr>
                  <w:rStyle w:val="Hyperlink"/>
                </w:rPr>
                <w:t>http://www.gtlcenter.org/sites/default/files/Coherence_Alignment_Tool.pdf)</w:t>
              </w:r>
            </w:hyperlink>
            <w:r>
              <w:t>.</w:t>
            </w:r>
          </w:p>
          <w:p w14:paraId="58E4D96E" w14:textId="2B801827" w:rsidR="0098335A" w:rsidRPr="00957804" w:rsidRDefault="00FA6EF4" w:rsidP="0067787A">
            <w:pPr>
              <w:pStyle w:val="TableBullet"/>
              <w:numPr>
                <w:ilvl w:val="1"/>
                <w:numId w:val="14"/>
              </w:numPr>
            </w:pPr>
            <w:r>
              <w:t>Talent Management Strategies: Districts Self-Assessment Checklist (</w:t>
            </w:r>
            <w:hyperlink r:id="rId53" w:anchor="communities/pdc/documents/12611)" w:history="1">
              <w:r w:rsidRPr="00C75EBF">
                <w:rPr>
                  <w:rStyle w:val="Hyperlink"/>
                </w:rPr>
                <w:t>https://easn.grads360.org/#communities/pdc/documents/12611)</w:t>
              </w:r>
            </w:hyperlink>
            <w:r>
              <w:t>.</w:t>
            </w:r>
          </w:p>
        </w:tc>
      </w:tr>
      <w:tr w:rsidR="00526F2C" w14:paraId="2A513DB0" w14:textId="77777777" w:rsidTr="00CC368C">
        <w:tc>
          <w:tcPr>
            <w:tcW w:w="732" w:type="pct"/>
          </w:tcPr>
          <w:p w14:paraId="780118DF" w14:textId="77777777" w:rsidR="0098335A" w:rsidRPr="00957804" w:rsidRDefault="0098335A" w:rsidP="00117362">
            <w:pPr>
              <w:pStyle w:val="TableSubheading"/>
              <w:rPr>
                <w:b/>
              </w:rPr>
            </w:pPr>
            <w:r>
              <w:t>Planning for Implementation</w:t>
            </w:r>
          </w:p>
        </w:tc>
        <w:tc>
          <w:tcPr>
            <w:tcW w:w="4268" w:type="pct"/>
          </w:tcPr>
          <w:p w14:paraId="5D24228A" w14:textId="7F9F0F69" w:rsidR="002C3C4F" w:rsidRDefault="002C3C4F" w:rsidP="00117362">
            <w:pPr>
              <w:pStyle w:val="TableBullet"/>
            </w:pPr>
            <w:r>
              <w:t>Developing a logic model. Although a formal logic model is not required when planning for implementing your district strategies, it might be helpful to create one, especially if you are using many strategies. Logic model development resources are available from:</w:t>
            </w:r>
          </w:p>
          <w:p w14:paraId="4E4DE7F7" w14:textId="0DA76FDC" w:rsidR="002C3C4F" w:rsidRDefault="002C3C4F" w:rsidP="00196D44">
            <w:pPr>
              <w:pStyle w:val="TableBullet"/>
              <w:numPr>
                <w:ilvl w:val="1"/>
                <w:numId w:val="14"/>
              </w:numPr>
            </w:pPr>
            <w:r>
              <w:t>The Kellogg Foundation (</w:t>
            </w:r>
            <w:hyperlink r:id="rId54" w:history="1">
              <w:r w:rsidRPr="00AD17D7">
                <w:rPr>
                  <w:rStyle w:val="Hyperlink"/>
                </w:rPr>
                <w:t>https://www.wkkf.org/resource-directory/resource/2006/02/wk-kellogg-foundation-logic-model-development-guide</w:t>
              </w:r>
            </w:hyperlink>
            <w:r>
              <w:t>)</w:t>
            </w:r>
            <w:r w:rsidR="007C3E53">
              <w:t>.</w:t>
            </w:r>
          </w:p>
          <w:p w14:paraId="1DC8D4C9" w14:textId="6B7B12ED" w:rsidR="002C3C4F" w:rsidRDefault="002C3C4F" w:rsidP="00196D44">
            <w:pPr>
              <w:pStyle w:val="TableBullet"/>
              <w:numPr>
                <w:ilvl w:val="1"/>
                <w:numId w:val="14"/>
              </w:numPr>
            </w:pPr>
            <w:r>
              <w:t>Regional Education Laboratory Northeast and Islands (</w:t>
            </w:r>
            <w:hyperlink r:id="rId55" w:history="1">
              <w:r w:rsidRPr="00AD17D7">
                <w:rPr>
                  <w:rStyle w:val="Hyperlink"/>
                </w:rPr>
                <w:t>http://www.relnei.org/events/skill-builder-archive/logic-model-to-program-evaluation.html</w:t>
              </w:r>
            </w:hyperlink>
            <w:r>
              <w:t>)</w:t>
            </w:r>
            <w:r w:rsidR="007C3E53">
              <w:t>.</w:t>
            </w:r>
          </w:p>
          <w:p w14:paraId="3C97E5A2" w14:textId="141F19FF" w:rsidR="0098335A" w:rsidRPr="00957804" w:rsidRDefault="00D84825" w:rsidP="00117362">
            <w:pPr>
              <w:pStyle w:val="TableBullet"/>
            </w:pPr>
            <w:r w:rsidRPr="00D84825">
              <w:t xml:space="preserve">If you need help generating a list of common barriers, you can </w:t>
            </w:r>
            <w:r w:rsidR="00A843B4">
              <w:t>refer to</w:t>
            </w:r>
            <w:r w:rsidRPr="00D84825">
              <w:t xml:space="preserve"> the GTL </w:t>
            </w:r>
            <w:r>
              <w:t xml:space="preserve">Center’s Monitoring Tool for a </w:t>
            </w:r>
            <w:r w:rsidRPr="00D84825">
              <w:t xml:space="preserve">list of </w:t>
            </w:r>
            <w:r w:rsidR="00A843B4">
              <w:t xml:space="preserve">common </w:t>
            </w:r>
            <w:r w:rsidRPr="00D84825">
              <w:t>barriers</w:t>
            </w:r>
            <w:r>
              <w:t xml:space="preserve"> (</w:t>
            </w:r>
            <w:hyperlink r:id="rId56" w:history="1">
              <w:r w:rsidRPr="00AD17D7">
                <w:rPr>
                  <w:rStyle w:val="Hyperlink"/>
                </w:rPr>
                <w:t>http://www.gtlcenter.org/sites/default/files/Monitoring_Tool.pdf</w:t>
              </w:r>
            </w:hyperlink>
            <w:r>
              <w:t>)</w:t>
            </w:r>
            <w:r w:rsidR="007C3E53">
              <w:t>.</w:t>
            </w:r>
          </w:p>
        </w:tc>
      </w:tr>
    </w:tbl>
    <w:p w14:paraId="09B84782" w14:textId="77777777" w:rsidR="00A21929" w:rsidRPr="0067787A" w:rsidRDefault="00A21929" w:rsidP="0067787A">
      <w:bookmarkStart w:id="0" w:name="_GoBack"/>
      <w:bookmarkEnd w:id="0"/>
    </w:p>
    <w:sectPr w:rsidR="00A21929" w:rsidRPr="0067787A" w:rsidSect="008A33BD">
      <w:footerReference w:type="first" r:id="rId57"/>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70F6D" w14:textId="77777777" w:rsidR="00FA6F16" w:rsidRDefault="00FA6F16" w:rsidP="004A5A3D">
      <w:r>
        <w:separator/>
      </w:r>
    </w:p>
  </w:endnote>
  <w:endnote w:type="continuationSeparator" w:id="0">
    <w:p w14:paraId="6E0BB089" w14:textId="77777777" w:rsidR="00FA6F16" w:rsidRDefault="00FA6F16" w:rsidP="004A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089BD" w14:textId="77777777" w:rsidR="00850E53" w:rsidRDefault="00850E53" w:rsidP="00850E5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3B10222" w14:textId="77777777" w:rsidR="00850E53" w:rsidRDefault="00850E53" w:rsidP="00850E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1EA02" w14:textId="0AAD6D7B" w:rsidR="00850E53" w:rsidRPr="001F42E8" w:rsidRDefault="00FA6F16" w:rsidP="001F42E8">
    <w:pPr>
      <w:pStyle w:val="Footer"/>
    </w:pPr>
    <w:sdt>
      <w:sdtPr>
        <w:id w:val="872196910"/>
        <w:docPartObj>
          <w:docPartGallery w:val="Page Numbers (Bottom of Page)"/>
          <w:docPartUnique/>
        </w:docPartObj>
      </w:sdtPr>
      <w:sdtEndPr/>
      <w:sdtContent>
        <w:r w:rsidR="001F42E8" w:rsidRPr="0022563E">
          <w:rPr>
            <w:color w:val="1F6197" w:themeColor="accent1" w:themeShade="80"/>
            <w:sz w:val="20"/>
          </w:rPr>
          <w:t xml:space="preserve">© TEA    3/29/2017             </w:t>
        </w:r>
        <w:r w:rsidR="001F42E8">
          <w:rPr>
            <w:color w:val="1F6197" w:themeColor="accent1" w:themeShade="80"/>
            <w:sz w:val="20"/>
          </w:rPr>
          <w:t xml:space="preserve">  </w:t>
        </w:r>
        <w:r w:rsidR="001F42E8" w:rsidRPr="0022563E">
          <w:rPr>
            <w:color w:val="1F6197" w:themeColor="accent1" w:themeShade="80"/>
            <w:sz w:val="20"/>
          </w:rPr>
          <w:t xml:space="preserve"> </w:t>
        </w:r>
        <w:r w:rsidR="001F42E8">
          <w:rPr>
            <w:color w:val="1F6197" w:themeColor="accent1" w:themeShade="80"/>
            <w:sz w:val="20"/>
          </w:rPr>
          <w:t>Texas Equity Toolkit: Roadmap Reporting Template</w:t>
        </w:r>
        <w:r w:rsidR="001F42E8" w:rsidRPr="00257667">
          <w:rPr>
            <w:color w:val="1F6197" w:themeColor="accent1" w:themeShade="80"/>
            <w:sz w:val="20"/>
          </w:rPr>
          <w:t xml:space="preserve">  </w:t>
        </w:r>
        <w:r w:rsidR="001F42E8">
          <w:rPr>
            <w:color w:val="1F6197" w:themeColor="accent1" w:themeShade="80"/>
            <w:sz w:val="20"/>
          </w:rPr>
          <w:t xml:space="preserve">                       </w:t>
        </w:r>
        <w:r w:rsidR="001F42E8" w:rsidRPr="0022563E">
          <w:rPr>
            <w:color w:val="1F6197" w:themeColor="accent1" w:themeShade="80"/>
            <w:sz w:val="20"/>
          </w:rPr>
          <w:t xml:space="preserve">          </w:t>
        </w:r>
        <w:sdt>
          <w:sdtPr>
            <w:id w:val="1727336575"/>
            <w:docPartObj>
              <w:docPartGallery w:val="Page Numbers (Top of Page)"/>
              <w:docPartUnique/>
            </w:docPartObj>
          </w:sdtPr>
          <w:sdtEndPr>
            <w:rPr>
              <w:color w:val="1F6197" w:themeColor="accent1" w:themeShade="80"/>
            </w:rPr>
          </w:sdtEndPr>
          <w:sdtContent>
            <w:r w:rsidR="001F42E8" w:rsidRPr="0022563E">
              <w:rPr>
                <w:bCs/>
                <w:color w:val="1F6197" w:themeColor="accent1" w:themeShade="80"/>
                <w:sz w:val="24"/>
                <w:szCs w:val="24"/>
              </w:rPr>
              <w:fldChar w:fldCharType="begin"/>
            </w:r>
            <w:r w:rsidR="001F42E8" w:rsidRPr="0022563E">
              <w:rPr>
                <w:bCs/>
                <w:color w:val="1F6197" w:themeColor="accent1" w:themeShade="80"/>
              </w:rPr>
              <w:instrText xml:space="preserve"> PAGE </w:instrText>
            </w:r>
            <w:r w:rsidR="001F42E8" w:rsidRPr="0022563E">
              <w:rPr>
                <w:bCs/>
                <w:color w:val="1F6197" w:themeColor="accent1" w:themeShade="80"/>
                <w:sz w:val="24"/>
                <w:szCs w:val="24"/>
              </w:rPr>
              <w:fldChar w:fldCharType="separate"/>
            </w:r>
            <w:r w:rsidR="00CC368C">
              <w:rPr>
                <w:bCs/>
                <w:noProof/>
                <w:color w:val="1F6197" w:themeColor="accent1" w:themeShade="80"/>
              </w:rPr>
              <w:t>7</w:t>
            </w:r>
            <w:r w:rsidR="001F42E8" w:rsidRPr="0022563E">
              <w:rPr>
                <w:bCs/>
                <w:color w:val="1F6197" w:themeColor="accent1" w:themeShade="80"/>
                <w:sz w:val="24"/>
                <w:szCs w:val="24"/>
              </w:rPr>
              <w:fldChar w:fldCharType="end"/>
            </w:r>
            <w:r w:rsidR="001F42E8" w:rsidRPr="0022563E">
              <w:rPr>
                <w:color w:val="1F6197" w:themeColor="accent1" w:themeShade="80"/>
              </w:rPr>
              <w:t xml:space="preserve"> of </w:t>
            </w:r>
            <w:r w:rsidR="001F42E8" w:rsidRPr="0022563E">
              <w:rPr>
                <w:bCs/>
                <w:color w:val="1F6197" w:themeColor="accent1" w:themeShade="80"/>
                <w:sz w:val="24"/>
                <w:szCs w:val="24"/>
              </w:rPr>
              <w:fldChar w:fldCharType="begin"/>
            </w:r>
            <w:r w:rsidR="001F42E8" w:rsidRPr="0022563E">
              <w:rPr>
                <w:bCs/>
                <w:color w:val="1F6197" w:themeColor="accent1" w:themeShade="80"/>
              </w:rPr>
              <w:instrText xml:space="preserve"> NUMPAGES  </w:instrText>
            </w:r>
            <w:r w:rsidR="001F42E8" w:rsidRPr="0022563E">
              <w:rPr>
                <w:bCs/>
                <w:color w:val="1F6197" w:themeColor="accent1" w:themeShade="80"/>
                <w:sz w:val="24"/>
                <w:szCs w:val="24"/>
              </w:rPr>
              <w:fldChar w:fldCharType="separate"/>
            </w:r>
            <w:r w:rsidR="00CC368C">
              <w:rPr>
                <w:bCs/>
                <w:noProof/>
                <w:color w:val="1F6197" w:themeColor="accent1" w:themeShade="80"/>
              </w:rPr>
              <w:t>11</w:t>
            </w:r>
            <w:r w:rsidR="001F42E8" w:rsidRPr="0022563E">
              <w:rPr>
                <w:bCs/>
                <w:color w:val="1F6197" w:themeColor="accent1" w:themeShade="80"/>
                <w:sz w:val="24"/>
                <w:szCs w:val="24"/>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660086"/>
      <w:docPartObj>
        <w:docPartGallery w:val="Page Numbers (Bottom of Page)"/>
        <w:docPartUnique/>
      </w:docPartObj>
    </w:sdtPr>
    <w:sdtEndPr>
      <w:rPr>
        <w:noProof/>
      </w:rPr>
    </w:sdtEndPr>
    <w:sdtContent>
      <w:sdt>
        <w:sdtPr>
          <w:id w:val="803583416"/>
          <w:docPartObj>
            <w:docPartGallery w:val="Page Numbers (Bottom of Page)"/>
            <w:docPartUnique/>
          </w:docPartObj>
        </w:sdtPr>
        <w:sdtEndPr>
          <w:rPr>
            <w:noProof/>
          </w:rPr>
        </w:sdtEndPr>
        <w:sdtContent>
          <w:sdt>
            <w:sdtPr>
              <w:id w:val="-1497574016"/>
              <w:docPartObj>
                <w:docPartGallery w:val="Page Numbers (Bottom of Page)"/>
                <w:docPartUnique/>
              </w:docPartObj>
            </w:sdtPr>
            <w:sdtEndPr>
              <w:rPr>
                <w:noProof/>
              </w:rPr>
            </w:sdtEndPr>
            <w:sdtContent>
              <w:p w14:paraId="43D67156" w14:textId="2590A063" w:rsidR="00850E53" w:rsidRPr="003F7FE3" w:rsidRDefault="003F7FE3" w:rsidP="001F42E8">
                <w:pPr>
                  <w:pStyle w:val="Footer"/>
                  <w:tabs>
                    <w:tab w:val="clear" w:pos="9360"/>
                    <w:tab w:val="right" w:pos="12960"/>
                  </w:tabs>
                  <w:rPr>
                    <w:color w:val="1F6197" w:themeColor="accent1" w:themeShade="80"/>
                    <w:sz w:val="20"/>
                  </w:rPr>
                </w:pPr>
                <w:r w:rsidRPr="003F7FE3">
                  <w:t xml:space="preserve"> </w:t>
                </w:r>
                <w:sdt>
                  <w:sdtPr>
                    <w:id w:val="-33192424"/>
                    <w:docPartObj>
                      <w:docPartGallery w:val="Page Numbers (Bottom of Page)"/>
                      <w:docPartUnique/>
                    </w:docPartObj>
                  </w:sdtPr>
                  <w:sdtEndPr/>
                  <w:sdtContent>
                    <w:sdt>
                      <w:sdtPr>
                        <w:id w:val="-1339694795"/>
                        <w:docPartObj>
                          <w:docPartGallery w:val="Page Numbers (Bottom of Page)"/>
                          <w:docPartUnique/>
                        </w:docPartObj>
                      </w:sdtPr>
                      <w:sdtEndPr/>
                      <w:sdtContent>
                        <w:sdt>
                          <w:sdtPr>
                            <w:id w:val="327021996"/>
                            <w:docPartObj>
                              <w:docPartGallery w:val="Page Numbers (Bottom of Page)"/>
                              <w:docPartUnique/>
                            </w:docPartObj>
                          </w:sdtPr>
                          <w:sdtEndPr/>
                          <w:sdtContent>
                            <w:sdt>
                              <w:sdtPr>
                                <w:id w:val="-301546173"/>
                                <w:docPartObj>
                                  <w:docPartGallery w:val="Page Numbers (Bottom of Page)"/>
                                  <w:docPartUnique/>
                                </w:docPartObj>
                              </w:sdtPr>
                              <w:sdtEndPr/>
                              <w:sdtContent>
                                <w:r w:rsidR="001F42E8" w:rsidRPr="0022563E">
                                  <w:rPr>
                                    <w:color w:val="1F6197" w:themeColor="accent1" w:themeShade="80"/>
                                    <w:sz w:val="20"/>
                                  </w:rPr>
                                  <w:t xml:space="preserve">© TEA    3/29/2017             </w:t>
                                </w:r>
                                <w:r w:rsidR="001F42E8">
                                  <w:rPr>
                                    <w:color w:val="1F6197" w:themeColor="accent1" w:themeShade="80"/>
                                    <w:sz w:val="20"/>
                                  </w:rPr>
                                  <w:t xml:space="preserve">  </w:t>
                                </w:r>
                                <w:r w:rsidR="001F42E8" w:rsidRPr="0022563E">
                                  <w:rPr>
                                    <w:color w:val="1F6197" w:themeColor="accent1" w:themeShade="80"/>
                                    <w:sz w:val="20"/>
                                  </w:rPr>
                                  <w:t xml:space="preserve"> </w:t>
                                </w:r>
                                <w:r w:rsidR="001F42E8">
                                  <w:rPr>
                                    <w:color w:val="1F6197" w:themeColor="accent1" w:themeShade="80"/>
                                    <w:sz w:val="20"/>
                                  </w:rPr>
                                  <w:t>Texas Equity Toolkit: Roadmap Reporting Template</w:t>
                                </w:r>
                                <w:r w:rsidR="001F42E8" w:rsidRPr="00257667">
                                  <w:rPr>
                                    <w:color w:val="1F6197" w:themeColor="accent1" w:themeShade="80"/>
                                    <w:sz w:val="20"/>
                                  </w:rPr>
                                  <w:t xml:space="preserve">  </w:t>
                                </w:r>
                                <w:r w:rsidR="001F42E8">
                                  <w:rPr>
                                    <w:color w:val="1F6197" w:themeColor="accent1" w:themeShade="80"/>
                                    <w:sz w:val="20"/>
                                  </w:rPr>
                                  <w:t xml:space="preserve">                     </w:t>
                                </w:r>
                                <w:r w:rsidR="001F42E8" w:rsidRPr="0022563E">
                                  <w:rPr>
                                    <w:color w:val="1F6197" w:themeColor="accent1" w:themeShade="80"/>
                                    <w:sz w:val="20"/>
                                  </w:rPr>
                                  <w:t xml:space="preserve">          </w:t>
                                </w:r>
                                <w:sdt>
                                  <w:sdtPr>
                                    <w:id w:val="-1617366667"/>
                                    <w:docPartObj>
                                      <w:docPartGallery w:val="Page Numbers (Top of Page)"/>
                                      <w:docPartUnique/>
                                    </w:docPartObj>
                                  </w:sdtPr>
                                  <w:sdtEndPr>
                                    <w:rPr>
                                      <w:color w:val="1F6197" w:themeColor="accent1" w:themeShade="80"/>
                                    </w:rPr>
                                  </w:sdtEndPr>
                                  <w:sdtContent>
                                    <w:r w:rsidR="001F42E8" w:rsidRPr="0022563E">
                                      <w:rPr>
                                        <w:bCs/>
                                        <w:color w:val="1F6197" w:themeColor="accent1" w:themeShade="80"/>
                                        <w:sz w:val="24"/>
                                        <w:szCs w:val="24"/>
                                      </w:rPr>
                                      <w:fldChar w:fldCharType="begin"/>
                                    </w:r>
                                    <w:r w:rsidR="001F42E8" w:rsidRPr="0022563E">
                                      <w:rPr>
                                        <w:bCs/>
                                        <w:color w:val="1F6197" w:themeColor="accent1" w:themeShade="80"/>
                                      </w:rPr>
                                      <w:instrText xml:space="preserve"> PAGE </w:instrText>
                                    </w:r>
                                    <w:r w:rsidR="001F42E8" w:rsidRPr="0022563E">
                                      <w:rPr>
                                        <w:bCs/>
                                        <w:color w:val="1F6197" w:themeColor="accent1" w:themeShade="80"/>
                                        <w:sz w:val="24"/>
                                        <w:szCs w:val="24"/>
                                      </w:rPr>
                                      <w:fldChar w:fldCharType="separate"/>
                                    </w:r>
                                    <w:r w:rsidR="00CC368C">
                                      <w:rPr>
                                        <w:bCs/>
                                        <w:noProof/>
                                        <w:color w:val="1F6197" w:themeColor="accent1" w:themeShade="80"/>
                                      </w:rPr>
                                      <w:t>9</w:t>
                                    </w:r>
                                    <w:r w:rsidR="001F42E8" w:rsidRPr="0022563E">
                                      <w:rPr>
                                        <w:bCs/>
                                        <w:color w:val="1F6197" w:themeColor="accent1" w:themeShade="80"/>
                                        <w:sz w:val="24"/>
                                        <w:szCs w:val="24"/>
                                      </w:rPr>
                                      <w:fldChar w:fldCharType="end"/>
                                    </w:r>
                                    <w:r w:rsidR="001F42E8" w:rsidRPr="0022563E">
                                      <w:rPr>
                                        <w:color w:val="1F6197" w:themeColor="accent1" w:themeShade="80"/>
                                      </w:rPr>
                                      <w:t xml:space="preserve"> of </w:t>
                                    </w:r>
                                    <w:r w:rsidR="001F42E8" w:rsidRPr="0022563E">
                                      <w:rPr>
                                        <w:bCs/>
                                        <w:color w:val="1F6197" w:themeColor="accent1" w:themeShade="80"/>
                                        <w:sz w:val="24"/>
                                        <w:szCs w:val="24"/>
                                      </w:rPr>
                                      <w:fldChar w:fldCharType="begin"/>
                                    </w:r>
                                    <w:r w:rsidR="001F42E8" w:rsidRPr="0022563E">
                                      <w:rPr>
                                        <w:bCs/>
                                        <w:color w:val="1F6197" w:themeColor="accent1" w:themeShade="80"/>
                                      </w:rPr>
                                      <w:instrText xml:space="preserve"> NUMPAGES  </w:instrText>
                                    </w:r>
                                    <w:r w:rsidR="001F42E8" w:rsidRPr="0022563E">
                                      <w:rPr>
                                        <w:bCs/>
                                        <w:color w:val="1F6197" w:themeColor="accent1" w:themeShade="80"/>
                                        <w:sz w:val="24"/>
                                        <w:szCs w:val="24"/>
                                      </w:rPr>
                                      <w:fldChar w:fldCharType="separate"/>
                                    </w:r>
                                    <w:r w:rsidR="00CC368C">
                                      <w:rPr>
                                        <w:bCs/>
                                        <w:noProof/>
                                        <w:color w:val="1F6197" w:themeColor="accent1" w:themeShade="80"/>
                                      </w:rPr>
                                      <w:t>11</w:t>
                                    </w:r>
                                    <w:r w:rsidR="001F42E8" w:rsidRPr="0022563E">
                                      <w:rPr>
                                        <w:bCs/>
                                        <w:color w:val="1F6197" w:themeColor="accent1" w:themeShade="80"/>
                                        <w:sz w:val="24"/>
                                        <w:szCs w:val="24"/>
                                      </w:rPr>
                                      <w:fldChar w:fldCharType="end"/>
                                    </w:r>
                                  </w:sdtContent>
                                </w:sdt>
                              </w:sdtContent>
                            </w:sdt>
                            <w:r w:rsidR="001F42E8">
                              <w:rPr>
                                <w:color w:val="1F6197" w:themeColor="accent1" w:themeShade="80"/>
                                <w:sz w:val="20"/>
                              </w:rPr>
                              <w:t xml:space="preserve"> </w:t>
                            </w:r>
                          </w:sdtContent>
                        </w:sdt>
                      </w:sdtContent>
                    </w:sdt>
                  </w:sdtContent>
                </w:sdt>
              </w:p>
            </w:sdtContent>
          </w:sdt>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5D700" w14:textId="57B60FB2" w:rsidR="00850E53" w:rsidRPr="001F42E8" w:rsidRDefault="00FA6F16" w:rsidP="001F42E8">
    <w:pPr>
      <w:pStyle w:val="Footer"/>
    </w:pPr>
    <w:sdt>
      <w:sdtPr>
        <w:id w:val="390388624"/>
        <w:docPartObj>
          <w:docPartGallery w:val="Page Numbers (Bottom of Page)"/>
          <w:docPartUnique/>
        </w:docPartObj>
      </w:sdtPr>
      <w:sdtEndPr/>
      <w:sdtContent>
        <w:r w:rsidR="001F42E8" w:rsidRPr="0022563E">
          <w:rPr>
            <w:color w:val="1F6197" w:themeColor="accent1" w:themeShade="80"/>
            <w:sz w:val="20"/>
          </w:rPr>
          <w:t xml:space="preserve">© TEA    3/29/2017             </w:t>
        </w:r>
        <w:r w:rsidR="001F42E8">
          <w:rPr>
            <w:color w:val="1F6197" w:themeColor="accent1" w:themeShade="80"/>
            <w:sz w:val="20"/>
          </w:rPr>
          <w:t xml:space="preserve">  </w:t>
        </w:r>
        <w:r w:rsidR="001F42E8" w:rsidRPr="0022563E">
          <w:rPr>
            <w:color w:val="1F6197" w:themeColor="accent1" w:themeShade="80"/>
            <w:sz w:val="20"/>
          </w:rPr>
          <w:t xml:space="preserve"> </w:t>
        </w:r>
        <w:r w:rsidR="001F42E8">
          <w:rPr>
            <w:color w:val="1F6197" w:themeColor="accent1" w:themeShade="80"/>
            <w:sz w:val="20"/>
          </w:rPr>
          <w:t>Texas Equity Toolkit: Roadmap Reporting Template</w:t>
        </w:r>
        <w:r w:rsidR="001F42E8" w:rsidRPr="00257667">
          <w:rPr>
            <w:color w:val="1F6197" w:themeColor="accent1" w:themeShade="80"/>
            <w:sz w:val="20"/>
          </w:rPr>
          <w:t xml:space="preserve">  </w:t>
        </w:r>
        <w:r w:rsidR="001F42E8">
          <w:rPr>
            <w:color w:val="1F6197" w:themeColor="accent1" w:themeShade="80"/>
            <w:sz w:val="20"/>
          </w:rPr>
          <w:t xml:space="preserve">                       </w:t>
        </w:r>
        <w:r w:rsidR="001F42E8" w:rsidRPr="0022563E">
          <w:rPr>
            <w:color w:val="1F6197" w:themeColor="accent1" w:themeShade="80"/>
            <w:sz w:val="20"/>
          </w:rPr>
          <w:t xml:space="preserve">          </w:t>
        </w:r>
        <w:sdt>
          <w:sdtPr>
            <w:id w:val="-1994166735"/>
            <w:docPartObj>
              <w:docPartGallery w:val="Page Numbers (Top of Page)"/>
              <w:docPartUnique/>
            </w:docPartObj>
          </w:sdtPr>
          <w:sdtEndPr>
            <w:rPr>
              <w:color w:val="1F6197" w:themeColor="accent1" w:themeShade="80"/>
            </w:rPr>
          </w:sdtEndPr>
          <w:sdtContent>
            <w:r w:rsidR="001F42E8" w:rsidRPr="0022563E">
              <w:rPr>
                <w:bCs/>
                <w:color w:val="1F6197" w:themeColor="accent1" w:themeShade="80"/>
                <w:sz w:val="24"/>
                <w:szCs w:val="24"/>
              </w:rPr>
              <w:fldChar w:fldCharType="begin"/>
            </w:r>
            <w:r w:rsidR="001F42E8" w:rsidRPr="0022563E">
              <w:rPr>
                <w:bCs/>
                <w:color w:val="1F6197" w:themeColor="accent1" w:themeShade="80"/>
              </w:rPr>
              <w:instrText xml:space="preserve"> PAGE </w:instrText>
            </w:r>
            <w:r w:rsidR="001F42E8" w:rsidRPr="0022563E">
              <w:rPr>
                <w:bCs/>
                <w:color w:val="1F6197" w:themeColor="accent1" w:themeShade="80"/>
                <w:sz w:val="24"/>
                <w:szCs w:val="24"/>
              </w:rPr>
              <w:fldChar w:fldCharType="separate"/>
            </w:r>
            <w:r w:rsidR="00CC368C">
              <w:rPr>
                <w:bCs/>
                <w:noProof/>
                <w:color w:val="1F6197" w:themeColor="accent1" w:themeShade="80"/>
              </w:rPr>
              <w:t>8</w:t>
            </w:r>
            <w:r w:rsidR="001F42E8" w:rsidRPr="0022563E">
              <w:rPr>
                <w:bCs/>
                <w:color w:val="1F6197" w:themeColor="accent1" w:themeShade="80"/>
                <w:sz w:val="24"/>
                <w:szCs w:val="24"/>
              </w:rPr>
              <w:fldChar w:fldCharType="end"/>
            </w:r>
            <w:r w:rsidR="001F42E8" w:rsidRPr="0022563E">
              <w:rPr>
                <w:color w:val="1F6197" w:themeColor="accent1" w:themeShade="80"/>
              </w:rPr>
              <w:t xml:space="preserve"> of </w:t>
            </w:r>
            <w:r w:rsidR="001F42E8" w:rsidRPr="0022563E">
              <w:rPr>
                <w:bCs/>
                <w:color w:val="1F6197" w:themeColor="accent1" w:themeShade="80"/>
                <w:sz w:val="24"/>
                <w:szCs w:val="24"/>
              </w:rPr>
              <w:fldChar w:fldCharType="begin"/>
            </w:r>
            <w:r w:rsidR="001F42E8" w:rsidRPr="0022563E">
              <w:rPr>
                <w:bCs/>
                <w:color w:val="1F6197" w:themeColor="accent1" w:themeShade="80"/>
              </w:rPr>
              <w:instrText xml:space="preserve"> NUMPAGES  </w:instrText>
            </w:r>
            <w:r w:rsidR="001F42E8" w:rsidRPr="0022563E">
              <w:rPr>
                <w:bCs/>
                <w:color w:val="1F6197" w:themeColor="accent1" w:themeShade="80"/>
                <w:sz w:val="24"/>
                <w:szCs w:val="24"/>
              </w:rPr>
              <w:fldChar w:fldCharType="separate"/>
            </w:r>
            <w:r w:rsidR="00CC368C">
              <w:rPr>
                <w:bCs/>
                <w:noProof/>
                <w:color w:val="1F6197" w:themeColor="accent1" w:themeShade="80"/>
              </w:rPr>
              <w:t>11</w:t>
            </w:r>
            <w:r w:rsidR="001F42E8" w:rsidRPr="0022563E">
              <w:rPr>
                <w:bCs/>
                <w:color w:val="1F6197" w:themeColor="accent1" w:themeShade="80"/>
                <w:sz w:val="24"/>
                <w:szCs w:val="24"/>
              </w:rPr>
              <w:fldChar w:fldCharType="end"/>
            </w:r>
          </w:sdtContent>
        </w:sdt>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E4E53" w14:textId="2AAF5D79" w:rsidR="00FA7BAC" w:rsidRDefault="00FA6F16" w:rsidP="00FA7BAC">
    <w:pPr>
      <w:pStyle w:val="Footer"/>
      <w:tabs>
        <w:tab w:val="clear" w:pos="9360"/>
        <w:tab w:val="right" w:pos="12960"/>
      </w:tabs>
    </w:pPr>
    <w:sdt>
      <w:sdtPr>
        <w:id w:val="1600834955"/>
        <w:docPartObj>
          <w:docPartGallery w:val="Page Numbers (Bottom of Page)"/>
          <w:docPartUnique/>
        </w:docPartObj>
      </w:sdtPr>
      <w:sdtEndPr/>
      <w:sdtContent>
        <w:r w:rsidR="001F42E8" w:rsidRPr="0022563E">
          <w:rPr>
            <w:color w:val="1F6197" w:themeColor="accent1" w:themeShade="80"/>
            <w:sz w:val="20"/>
          </w:rPr>
          <w:t xml:space="preserve">© TEA    3/29/2017             </w:t>
        </w:r>
        <w:r w:rsidR="001F42E8">
          <w:rPr>
            <w:color w:val="1F6197" w:themeColor="accent1" w:themeShade="80"/>
            <w:sz w:val="20"/>
          </w:rPr>
          <w:t xml:space="preserve">  </w:t>
        </w:r>
        <w:r w:rsidR="001F42E8" w:rsidRPr="0022563E">
          <w:rPr>
            <w:color w:val="1F6197" w:themeColor="accent1" w:themeShade="80"/>
            <w:sz w:val="20"/>
          </w:rPr>
          <w:t xml:space="preserve"> </w:t>
        </w:r>
        <w:r w:rsidR="001F42E8">
          <w:rPr>
            <w:color w:val="1F6197" w:themeColor="accent1" w:themeShade="80"/>
            <w:sz w:val="20"/>
          </w:rPr>
          <w:t>Texas Equity Toolkit: Roadmap Reporting Template</w:t>
        </w:r>
        <w:r w:rsidR="001F42E8" w:rsidRPr="00257667">
          <w:rPr>
            <w:color w:val="1F6197" w:themeColor="accent1" w:themeShade="80"/>
            <w:sz w:val="20"/>
          </w:rPr>
          <w:t xml:space="preserve">  </w:t>
        </w:r>
        <w:r w:rsidR="001F42E8">
          <w:rPr>
            <w:color w:val="1F6197" w:themeColor="accent1" w:themeShade="80"/>
            <w:sz w:val="20"/>
          </w:rPr>
          <w:t xml:space="preserve">                     </w:t>
        </w:r>
        <w:r w:rsidR="001F42E8" w:rsidRPr="0022563E">
          <w:rPr>
            <w:color w:val="1F6197" w:themeColor="accent1" w:themeShade="80"/>
            <w:sz w:val="20"/>
          </w:rPr>
          <w:t xml:space="preserve">          </w:t>
        </w:r>
        <w:sdt>
          <w:sdtPr>
            <w:id w:val="-1117527001"/>
            <w:docPartObj>
              <w:docPartGallery w:val="Page Numbers (Top of Page)"/>
              <w:docPartUnique/>
            </w:docPartObj>
          </w:sdtPr>
          <w:sdtEndPr>
            <w:rPr>
              <w:color w:val="1F6197" w:themeColor="accent1" w:themeShade="80"/>
            </w:rPr>
          </w:sdtEndPr>
          <w:sdtContent>
            <w:r w:rsidR="001F42E8" w:rsidRPr="0022563E">
              <w:rPr>
                <w:bCs/>
                <w:color w:val="1F6197" w:themeColor="accent1" w:themeShade="80"/>
                <w:sz w:val="24"/>
                <w:szCs w:val="24"/>
              </w:rPr>
              <w:fldChar w:fldCharType="begin"/>
            </w:r>
            <w:r w:rsidR="001F42E8" w:rsidRPr="0022563E">
              <w:rPr>
                <w:bCs/>
                <w:color w:val="1F6197" w:themeColor="accent1" w:themeShade="80"/>
              </w:rPr>
              <w:instrText xml:space="preserve"> PAGE </w:instrText>
            </w:r>
            <w:r w:rsidR="001F42E8" w:rsidRPr="0022563E">
              <w:rPr>
                <w:bCs/>
                <w:color w:val="1F6197" w:themeColor="accent1" w:themeShade="80"/>
                <w:sz w:val="24"/>
                <w:szCs w:val="24"/>
              </w:rPr>
              <w:fldChar w:fldCharType="separate"/>
            </w:r>
            <w:r w:rsidR="00CC368C">
              <w:rPr>
                <w:bCs/>
                <w:noProof/>
                <w:color w:val="1F6197" w:themeColor="accent1" w:themeShade="80"/>
              </w:rPr>
              <w:t>11</w:t>
            </w:r>
            <w:r w:rsidR="001F42E8" w:rsidRPr="0022563E">
              <w:rPr>
                <w:bCs/>
                <w:color w:val="1F6197" w:themeColor="accent1" w:themeShade="80"/>
                <w:sz w:val="24"/>
                <w:szCs w:val="24"/>
              </w:rPr>
              <w:fldChar w:fldCharType="end"/>
            </w:r>
            <w:r w:rsidR="001F42E8" w:rsidRPr="0022563E">
              <w:rPr>
                <w:color w:val="1F6197" w:themeColor="accent1" w:themeShade="80"/>
              </w:rPr>
              <w:t xml:space="preserve"> of </w:t>
            </w:r>
            <w:r w:rsidR="001F42E8" w:rsidRPr="0022563E">
              <w:rPr>
                <w:bCs/>
                <w:color w:val="1F6197" w:themeColor="accent1" w:themeShade="80"/>
                <w:sz w:val="24"/>
                <w:szCs w:val="24"/>
              </w:rPr>
              <w:fldChar w:fldCharType="begin"/>
            </w:r>
            <w:r w:rsidR="001F42E8" w:rsidRPr="0022563E">
              <w:rPr>
                <w:bCs/>
                <w:color w:val="1F6197" w:themeColor="accent1" w:themeShade="80"/>
              </w:rPr>
              <w:instrText xml:space="preserve"> NUMPAGES  </w:instrText>
            </w:r>
            <w:r w:rsidR="001F42E8" w:rsidRPr="0022563E">
              <w:rPr>
                <w:bCs/>
                <w:color w:val="1F6197" w:themeColor="accent1" w:themeShade="80"/>
                <w:sz w:val="24"/>
                <w:szCs w:val="24"/>
              </w:rPr>
              <w:fldChar w:fldCharType="separate"/>
            </w:r>
            <w:r w:rsidR="00CC368C">
              <w:rPr>
                <w:bCs/>
                <w:noProof/>
                <w:color w:val="1F6197" w:themeColor="accent1" w:themeShade="80"/>
              </w:rPr>
              <w:t>11</w:t>
            </w:r>
            <w:r w:rsidR="001F42E8" w:rsidRPr="0022563E">
              <w:rPr>
                <w:bCs/>
                <w:color w:val="1F6197" w:themeColor="accent1" w:themeShade="80"/>
                <w:sz w:val="24"/>
                <w:szCs w:val="24"/>
              </w:rPr>
              <w:fldChar w:fldCharType="end"/>
            </w:r>
          </w:sdtContent>
        </w:sdt>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079396"/>
      <w:docPartObj>
        <w:docPartGallery w:val="Page Numbers (Bottom of Page)"/>
        <w:docPartUnique/>
      </w:docPartObj>
    </w:sdtPr>
    <w:sdtEndPr>
      <w:rPr>
        <w:noProof/>
      </w:rPr>
    </w:sdtEndPr>
    <w:sdtContent>
      <w:sdt>
        <w:sdtPr>
          <w:id w:val="-196240966"/>
          <w:docPartObj>
            <w:docPartGallery w:val="Page Numbers (Bottom of Page)"/>
            <w:docPartUnique/>
          </w:docPartObj>
        </w:sdtPr>
        <w:sdtEndPr>
          <w:rPr>
            <w:noProof/>
          </w:rPr>
        </w:sdtEndPr>
        <w:sdtContent>
          <w:sdt>
            <w:sdtPr>
              <w:id w:val="-428741540"/>
              <w:docPartObj>
                <w:docPartGallery w:val="Page Numbers (Bottom of Page)"/>
                <w:docPartUnique/>
              </w:docPartObj>
            </w:sdtPr>
            <w:sdtEndPr>
              <w:rPr>
                <w:noProof/>
              </w:rPr>
            </w:sdtEndPr>
            <w:sdtContent>
              <w:p w14:paraId="54140D96" w14:textId="580F2578" w:rsidR="00665DD5" w:rsidRPr="00FA7BAC" w:rsidRDefault="00FA6F16" w:rsidP="00FA7BAC">
                <w:pPr>
                  <w:pStyle w:val="Footer"/>
                  <w:tabs>
                    <w:tab w:val="clear" w:pos="9360"/>
                    <w:tab w:val="right" w:pos="12960"/>
                  </w:tabs>
                  <w:rPr>
                    <w:color w:val="1F6197" w:themeColor="accent1" w:themeShade="80"/>
                    <w:sz w:val="20"/>
                  </w:rPr>
                </w:pPr>
                <w:sdt>
                  <w:sdtPr>
                    <w:id w:val="1850679156"/>
                    <w:docPartObj>
                      <w:docPartGallery w:val="Page Numbers (Bottom of Page)"/>
                      <w:docPartUnique/>
                    </w:docPartObj>
                  </w:sdtPr>
                  <w:sdtEndPr/>
                  <w:sdtContent>
                    <w:r w:rsidR="001F42E8" w:rsidRPr="0022563E">
                      <w:rPr>
                        <w:color w:val="1F6197" w:themeColor="accent1" w:themeShade="80"/>
                        <w:sz w:val="20"/>
                      </w:rPr>
                      <w:t xml:space="preserve">© TEA    3/29/2017             </w:t>
                    </w:r>
                    <w:r w:rsidR="001F42E8">
                      <w:rPr>
                        <w:color w:val="1F6197" w:themeColor="accent1" w:themeShade="80"/>
                        <w:sz w:val="20"/>
                      </w:rPr>
                      <w:t xml:space="preserve">  </w:t>
                    </w:r>
                    <w:r w:rsidR="001F42E8" w:rsidRPr="0022563E">
                      <w:rPr>
                        <w:color w:val="1F6197" w:themeColor="accent1" w:themeShade="80"/>
                        <w:sz w:val="20"/>
                      </w:rPr>
                      <w:t xml:space="preserve"> </w:t>
                    </w:r>
                    <w:r w:rsidR="001F42E8">
                      <w:rPr>
                        <w:color w:val="1F6197" w:themeColor="accent1" w:themeShade="80"/>
                        <w:sz w:val="20"/>
                      </w:rPr>
                      <w:t>Texas Equity Toolkit: Roadmap Reporting Template</w:t>
                    </w:r>
                    <w:r w:rsidR="001F42E8" w:rsidRPr="00257667">
                      <w:rPr>
                        <w:color w:val="1F6197" w:themeColor="accent1" w:themeShade="80"/>
                        <w:sz w:val="20"/>
                      </w:rPr>
                      <w:t xml:space="preserve">  </w:t>
                    </w:r>
                    <w:r w:rsidR="001F42E8">
                      <w:rPr>
                        <w:color w:val="1F6197" w:themeColor="accent1" w:themeShade="80"/>
                        <w:sz w:val="20"/>
                      </w:rPr>
                      <w:t xml:space="preserve">                     </w:t>
                    </w:r>
                    <w:r w:rsidR="001F42E8" w:rsidRPr="0022563E">
                      <w:rPr>
                        <w:color w:val="1F6197" w:themeColor="accent1" w:themeShade="80"/>
                        <w:sz w:val="20"/>
                      </w:rPr>
                      <w:t xml:space="preserve">          </w:t>
                    </w:r>
                    <w:sdt>
                      <w:sdtPr>
                        <w:id w:val="-471367394"/>
                        <w:docPartObj>
                          <w:docPartGallery w:val="Page Numbers (Top of Page)"/>
                          <w:docPartUnique/>
                        </w:docPartObj>
                      </w:sdtPr>
                      <w:sdtEndPr>
                        <w:rPr>
                          <w:color w:val="1F6197" w:themeColor="accent1" w:themeShade="80"/>
                        </w:rPr>
                      </w:sdtEndPr>
                      <w:sdtContent>
                        <w:r w:rsidR="001F42E8" w:rsidRPr="0022563E">
                          <w:rPr>
                            <w:bCs/>
                            <w:color w:val="1F6197" w:themeColor="accent1" w:themeShade="80"/>
                            <w:sz w:val="24"/>
                            <w:szCs w:val="24"/>
                          </w:rPr>
                          <w:fldChar w:fldCharType="begin"/>
                        </w:r>
                        <w:r w:rsidR="001F42E8" w:rsidRPr="0022563E">
                          <w:rPr>
                            <w:bCs/>
                            <w:color w:val="1F6197" w:themeColor="accent1" w:themeShade="80"/>
                          </w:rPr>
                          <w:instrText xml:space="preserve"> PAGE </w:instrText>
                        </w:r>
                        <w:r w:rsidR="001F42E8" w:rsidRPr="0022563E">
                          <w:rPr>
                            <w:bCs/>
                            <w:color w:val="1F6197" w:themeColor="accent1" w:themeShade="80"/>
                            <w:sz w:val="24"/>
                            <w:szCs w:val="24"/>
                          </w:rPr>
                          <w:fldChar w:fldCharType="separate"/>
                        </w:r>
                        <w:r w:rsidR="00CC368C">
                          <w:rPr>
                            <w:bCs/>
                            <w:noProof/>
                            <w:color w:val="1F6197" w:themeColor="accent1" w:themeShade="80"/>
                          </w:rPr>
                          <w:t>10</w:t>
                        </w:r>
                        <w:r w:rsidR="001F42E8" w:rsidRPr="0022563E">
                          <w:rPr>
                            <w:bCs/>
                            <w:color w:val="1F6197" w:themeColor="accent1" w:themeShade="80"/>
                            <w:sz w:val="24"/>
                            <w:szCs w:val="24"/>
                          </w:rPr>
                          <w:fldChar w:fldCharType="end"/>
                        </w:r>
                        <w:r w:rsidR="001F42E8" w:rsidRPr="0022563E">
                          <w:rPr>
                            <w:color w:val="1F6197" w:themeColor="accent1" w:themeShade="80"/>
                          </w:rPr>
                          <w:t xml:space="preserve"> of </w:t>
                        </w:r>
                        <w:r w:rsidR="001F42E8" w:rsidRPr="0022563E">
                          <w:rPr>
                            <w:bCs/>
                            <w:color w:val="1F6197" w:themeColor="accent1" w:themeShade="80"/>
                            <w:sz w:val="24"/>
                            <w:szCs w:val="24"/>
                          </w:rPr>
                          <w:fldChar w:fldCharType="begin"/>
                        </w:r>
                        <w:r w:rsidR="001F42E8" w:rsidRPr="0022563E">
                          <w:rPr>
                            <w:bCs/>
                            <w:color w:val="1F6197" w:themeColor="accent1" w:themeShade="80"/>
                          </w:rPr>
                          <w:instrText xml:space="preserve"> NUMPAGES  </w:instrText>
                        </w:r>
                        <w:r w:rsidR="001F42E8" w:rsidRPr="0022563E">
                          <w:rPr>
                            <w:bCs/>
                            <w:color w:val="1F6197" w:themeColor="accent1" w:themeShade="80"/>
                            <w:sz w:val="24"/>
                            <w:szCs w:val="24"/>
                          </w:rPr>
                          <w:fldChar w:fldCharType="separate"/>
                        </w:r>
                        <w:r w:rsidR="00CC368C">
                          <w:rPr>
                            <w:bCs/>
                            <w:noProof/>
                            <w:color w:val="1F6197" w:themeColor="accent1" w:themeShade="80"/>
                          </w:rPr>
                          <w:t>11</w:t>
                        </w:r>
                        <w:r w:rsidR="001F42E8" w:rsidRPr="0022563E">
                          <w:rPr>
                            <w:bCs/>
                            <w:color w:val="1F6197" w:themeColor="accent1" w:themeShade="80"/>
                            <w:sz w:val="24"/>
                            <w:szCs w:val="24"/>
                          </w:rPr>
                          <w:fldChar w:fldCharType="end"/>
                        </w:r>
                      </w:sdtContent>
                    </w:sdt>
                  </w:sdtContent>
                </w:sdt>
              </w:p>
              <w:p w14:paraId="7C3A8CFA" w14:textId="11E74EEB" w:rsidR="00665DD5" w:rsidRPr="00665DD5" w:rsidRDefault="00FA6F16" w:rsidP="00665DD5">
                <w:pPr>
                  <w:pStyle w:val="Footer"/>
                  <w:tabs>
                    <w:tab w:val="clear" w:pos="4680"/>
                    <w:tab w:val="clear" w:pos="9360"/>
                    <w:tab w:val="left" w:pos="5828"/>
                    <w:tab w:val="right" w:pos="12960"/>
                  </w:tabs>
                </w:pPr>
              </w:p>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FCAED" w14:textId="77777777" w:rsidR="00FA6F16" w:rsidRPr="00463516" w:rsidRDefault="00FA6F16" w:rsidP="00463516">
      <w:pPr>
        <w:spacing w:after="60" w:line="240" w:lineRule="auto"/>
        <w:rPr>
          <w:sz w:val="18"/>
        </w:rPr>
      </w:pPr>
      <w:r w:rsidRPr="00463516">
        <w:rPr>
          <w:sz w:val="18"/>
        </w:rPr>
        <w:separator/>
      </w:r>
    </w:p>
  </w:footnote>
  <w:footnote w:type="continuationSeparator" w:id="0">
    <w:p w14:paraId="3A2A682B" w14:textId="77777777" w:rsidR="00FA6F16" w:rsidRPr="00105D23" w:rsidRDefault="00FA6F16" w:rsidP="00105D23">
      <w:pPr>
        <w:spacing w:after="60" w:line="240" w:lineRule="auto"/>
        <w:rPr>
          <w:sz w:val="18"/>
        </w:rPr>
      </w:pPr>
      <w:r w:rsidRPr="00105D23">
        <w:rPr>
          <w:sz w:val="18"/>
        </w:rPr>
        <w:continuationSeparator/>
      </w:r>
    </w:p>
  </w:footnote>
  <w:footnote w:id="1">
    <w:p w14:paraId="34AB94EA" w14:textId="14D5C965" w:rsidR="006351AE" w:rsidRPr="009475AF" w:rsidRDefault="006351AE" w:rsidP="006351AE">
      <w:pPr>
        <w:pStyle w:val="FootnoteText"/>
      </w:pPr>
      <w:r w:rsidRPr="009475AF">
        <w:rPr>
          <w:rStyle w:val="FootnoteReference"/>
        </w:rPr>
        <w:footnoteRef/>
      </w:r>
      <w:r w:rsidRPr="009475AF">
        <w:t xml:space="preserve"> </w:t>
      </w:r>
      <w:r w:rsidRPr="006351AE">
        <w:t xml:space="preserve">For more information on the Every Student Succeeds Act, visit </w:t>
      </w:r>
      <w:hyperlink r:id="rId1" w:history="1">
        <w:r w:rsidRPr="006351AE">
          <w:rPr>
            <w:rStyle w:val="Hyperlink"/>
          </w:rPr>
          <w:t>http://www.ed.gov/essa?src=rn</w:t>
        </w:r>
      </w:hyperlink>
      <w:r w:rsidRPr="006351AE">
        <w:t>. Information on equity as it relates to states is included in section (1111(g</w:t>
      </w:r>
      <w:proofErr w:type="gramStart"/>
      <w:r w:rsidRPr="006351AE">
        <w:t>)(</w:t>
      </w:r>
      <w:proofErr w:type="gramEnd"/>
      <w:r w:rsidRPr="006351AE">
        <w:t>1)(B)). Information on equity as it relates to districts is included in section (1112(b</w:t>
      </w:r>
      <w:proofErr w:type="gramStart"/>
      <w:r w:rsidRPr="006351AE">
        <w:t>)(</w:t>
      </w:r>
      <w:proofErr w:type="gramEnd"/>
      <w:r w:rsidRPr="006351AE">
        <w:t>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6152E" w14:textId="77777777" w:rsidR="00850E53" w:rsidRDefault="00FA6F16" w:rsidP="00850E53">
    <w:pPr>
      <w:pStyle w:val="Header"/>
    </w:pPr>
    <w:r>
      <w:rPr>
        <w:noProof/>
      </w:rPr>
      <w:pict w14:anchorId="6A8351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4" type="#_x0000_t136" style="position:absolute;margin-left:0;margin-top:0;width:494.9pt;height:164.95pt;rotation:315;z-index:-251657216;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744F9" w14:textId="78C5A5EC" w:rsidR="00850E53" w:rsidRPr="000F64BB" w:rsidRDefault="008A33BD" w:rsidP="000F64BB">
    <w:pPr>
      <w:pStyle w:val="Header"/>
    </w:pPr>
    <w:r>
      <w:rPr>
        <w:noProof/>
      </w:rPr>
      <w:drawing>
        <wp:anchor distT="0" distB="0" distL="114300" distR="114300" simplePos="0" relativeHeight="251658240" behindDoc="0" locked="0" layoutInCell="1" allowOverlap="1" wp14:anchorId="517B47E5" wp14:editId="2C5EECCC">
          <wp:simplePos x="0" y="0"/>
          <wp:positionH relativeFrom="column">
            <wp:posOffset>4900930</wp:posOffset>
          </wp:positionH>
          <wp:positionV relativeFrom="paragraph">
            <wp:posOffset>-73025</wp:posOffset>
          </wp:positionV>
          <wp:extent cx="1152144" cy="5760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2144" cy="576072"/>
                  </a:xfrm>
                  <a:prstGeom prst="rect">
                    <a:avLst/>
                  </a:prstGeom>
                  <a:noFill/>
                </pic:spPr>
              </pic:pic>
            </a:graphicData>
          </a:graphic>
          <wp14:sizeRelH relativeFrom="page">
            <wp14:pctWidth>0</wp14:pctWidth>
          </wp14:sizeRelH>
          <wp14:sizeRelV relativeFrom="margin">
            <wp14:pctHeight>0</wp14:pctHeight>
          </wp14:sizeRelV>
        </wp:anchor>
      </w:drawing>
    </w:r>
    <w:r w:rsidR="00373346" w:rsidRPr="003A17D5">
      <w:rPr>
        <w:noProof/>
      </w:rPr>
      <w:drawing>
        <wp:anchor distT="0" distB="0" distL="114300" distR="114300" simplePos="0" relativeHeight="251657216" behindDoc="0" locked="0" layoutInCell="1" allowOverlap="1" wp14:anchorId="6A343EFE" wp14:editId="2E700CC8">
          <wp:simplePos x="0" y="0"/>
          <wp:positionH relativeFrom="column">
            <wp:posOffset>-457200</wp:posOffset>
          </wp:positionH>
          <wp:positionV relativeFrom="paragraph">
            <wp:posOffset>-128270</wp:posOffset>
          </wp:positionV>
          <wp:extent cx="1901952" cy="667512"/>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TEA_logo-steel-tea.png"/>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901952" cy="6675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4E1B">
      <w:rPr>
        <w:noProof/>
      </w:rPr>
      <mc:AlternateContent>
        <mc:Choice Requires="wps">
          <w:drawing>
            <wp:anchor distT="0" distB="0" distL="114300" distR="114300" simplePos="0" relativeHeight="251656192" behindDoc="0" locked="0" layoutInCell="1" allowOverlap="1" wp14:anchorId="0716B42B" wp14:editId="34884E17">
              <wp:simplePos x="0" y="0"/>
              <wp:positionH relativeFrom="column">
                <wp:posOffset>-466090</wp:posOffset>
              </wp:positionH>
              <wp:positionV relativeFrom="paragraph">
                <wp:posOffset>-190500</wp:posOffset>
              </wp:positionV>
              <wp:extent cx="8833104" cy="822960"/>
              <wp:effectExtent l="0" t="0" r="25400" b="15240"/>
              <wp:wrapTopAndBottom/>
              <wp:docPr id="232" name="Rounded Rectangle 232"/>
              <wp:cNvGraphicFramePr/>
              <a:graphic xmlns:a="http://schemas.openxmlformats.org/drawingml/2006/main">
                <a:graphicData uri="http://schemas.microsoft.com/office/word/2010/wordprocessingShape">
                  <wps:wsp>
                    <wps:cNvSpPr/>
                    <wps:spPr>
                      <a:xfrm>
                        <a:off x="0" y="0"/>
                        <a:ext cx="8833104" cy="822960"/>
                      </a:xfrm>
                      <a:prstGeom prst="roundRect">
                        <a:avLst>
                          <a:gd name="adj" fmla="val 50000"/>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7AF852" id="Rounded Rectangle 232" o:spid="_x0000_s1026" style="position:absolute;margin-left:-36.7pt;margin-top:-15pt;width:695.5pt;height:64.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" fillcolor="#00437b [3208]" strokecolor="#1f6096 [1604]" strokeweight="1pt">
              <v:stroke joinstyle="miter"/>
              <w10:wrap type="topAndBottom"/>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A9455" w14:textId="77777777" w:rsidR="00850E53" w:rsidRDefault="00850E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D61C7" w14:textId="244B3E5C" w:rsidR="00850E53" w:rsidRDefault="00850E53" w:rsidP="004A5A3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EDAD0" w14:textId="7FD1F80A" w:rsidR="00850E53" w:rsidRPr="00564F6A" w:rsidRDefault="00850E53" w:rsidP="00564F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48F8"/>
    <w:multiLevelType w:val="hybridMultilevel"/>
    <w:tmpl w:val="1730D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3518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D8F2B6C"/>
    <w:multiLevelType w:val="hybridMultilevel"/>
    <w:tmpl w:val="F5DA5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E3860"/>
    <w:multiLevelType w:val="hybridMultilevel"/>
    <w:tmpl w:val="7970427E"/>
    <w:lvl w:ilvl="0" w:tplc="2A6864E4">
      <w:start w:val="1"/>
      <w:numFmt w:val="bullet"/>
      <w:pStyle w:val="Checkmarkbulletlist"/>
      <w:lvlText w:val=""/>
      <w:lvlJc w:val="left"/>
      <w:pPr>
        <w:ind w:left="1080" w:hanging="360"/>
      </w:pPr>
      <w:rPr>
        <w:rFonts w:ascii="Wingdings" w:hAnsi="Wingdings" w:hint="default"/>
        <w:b w:val="0"/>
        <w:i w:val="0"/>
        <w:color w:val="3A8FD6" w:themeColor="accent1"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486364"/>
    <w:multiLevelType w:val="multilevel"/>
    <w:tmpl w:val="3446C638"/>
    <w:lvl w:ilvl="0">
      <w:start w:val="1"/>
      <w:numFmt w:val="decimal"/>
      <w:pStyle w:val="NumberedList"/>
      <w:lvlText w:val="%1."/>
      <w:lvlJc w:val="left"/>
      <w:pPr>
        <w:ind w:left="2160" w:hanging="360"/>
      </w:pPr>
      <w:rPr>
        <w:rFonts w:asciiTheme="minorHAnsi" w:hAnsiTheme="minorHAnsi" w:hint="default"/>
      </w:rPr>
    </w:lvl>
    <w:lvl w:ilvl="1">
      <w:start w:val="1"/>
      <w:numFmt w:val="lowerLetter"/>
      <w:lvlText w:val="%2."/>
      <w:lvlJc w:val="left"/>
      <w:pPr>
        <w:ind w:left="144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5" w15:restartNumberingAfterBreak="0">
    <w:nsid w:val="3851347A"/>
    <w:multiLevelType w:val="hybridMultilevel"/>
    <w:tmpl w:val="07720E70"/>
    <w:lvl w:ilvl="0" w:tplc="4990A5CE">
      <w:start w:val="1"/>
      <w:numFmt w:val="bullet"/>
      <w:pStyle w:val="Bullet1"/>
      <w:lvlText w:val=""/>
      <w:lvlJc w:val="left"/>
      <w:pPr>
        <w:ind w:left="720" w:hanging="360"/>
      </w:pPr>
      <w:rPr>
        <w:rFonts w:ascii="Symbol" w:hAnsi="Symbol" w:hint="default"/>
        <w:color w:val="3A8FD6" w:themeColor="accent1"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F1524"/>
    <w:multiLevelType w:val="multilevel"/>
    <w:tmpl w:val="99526938"/>
    <w:styleLink w:val="AIRBullet"/>
    <w:lvl w:ilvl="0">
      <w:start w:val="1"/>
      <w:numFmt w:val="bullet"/>
      <w:lvlText w:val=""/>
      <w:lvlJc w:val="left"/>
      <w:pPr>
        <w:ind w:left="720" w:hanging="360"/>
      </w:pPr>
      <w:rPr>
        <w:rFonts w:ascii="Wingdings" w:hAnsi="Wingdings" w:hint="default"/>
        <w:b w:val="0"/>
        <w:i w:val="0"/>
        <w:color w:val="000000" w:themeColor="text1"/>
        <w:sz w:val="24"/>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440" w:hanging="360"/>
      </w:pPr>
      <w:rPr>
        <w:rFonts w:ascii="Wingdings" w:hAnsi="Wingdings" w:hint="default"/>
        <w:b w:val="0"/>
        <w:i w:val="0"/>
        <w:sz w:val="12"/>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7" w15:restartNumberingAfterBreak="0">
    <w:nsid w:val="400708BD"/>
    <w:multiLevelType w:val="hybridMultilevel"/>
    <w:tmpl w:val="EC229672"/>
    <w:lvl w:ilvl="0" w:tplc="703056E4">
      <w:start w:val="1"/>
      <w:numFmt w:val="decimal"/>
      <w:pStyle w:val="TableNumberedList"/>
      <w:lvlText w:val="%1."/>
      <w:lvlJc w:val="left"/>
      <w:pPr>
        <w:ind w:left="360" w:hanging="360"/>
      </w:pPr>
      <w:rPr>
        <w:rFonts w:ascii="Arial" w:hAnsi="Arial" w:hint="default"/>
        <w:b w:val="0"/>
        <w:i w:val="0"/>
        <w:color w:val="auto"/>
        <w:sz w:val="20"/>
        <w:szCs w:val="32"/>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8" w15:restartNumberingAfterBreak="0">
    <w:nsid w:val="47832074"/>
    <w:multiLevelType w:val="multilevel"/>
    <w:tmpl w:val="8CD2D500"/>
    <w:lvl w:ilvl="0">
      <w:start w:val="1"/>
      <w:numFmt w:val="bullet"/>
      <w:pStyle w:val="TableBullet"/>
      <w:lvlText w:val=""/>
      <w:lvlJc w:val="left"/>
      <w:pPr>
        <w:ind w:left="72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383022C"/>
    <w:multiLevelType w:val="hybridMultilevel"/>
    <w:tmpl w:val="E46C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431240"/>
    <w:multiLevelType w:val="hybridMultilevel"/>
    <w:tmpl w:val="1098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EF0AC0"/>
    <w:multiLevelType w:val="hybridMultilevel"/>
    <w:tmpl w:val="50AAF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A17AE"/>
    <w:multiLevelType w:val="hybridMultilevel"/>
    <w:tmpl w:val="5A6E9398"/>
    <w:lvl w:ilvl="0" w:tplc="2B861E8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CA0504"/>
    <w:multiLevelType w:val="hybridMultilevel"/>
    <w:tmpl w:val="3074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12"/>
  </w:num>
  <w:num w:numId="6">
    <w:abstractNumId w:val="7"/>
  </w:num>
  <w:num w:numId="7">
    <w:abstractNumId w:val="3"/>
  </w:num>
  <w:num w:numId="8">
    <w:abstractNumId w:val="10"/>
  </w:num>
  <w:num w:numId="9">
    <w:abstractNumId w:val="9"/>
  </w:num>
  <w:num w:numId="10">
    <w:abstractNumId w:val="11"/>
  </w:num>
  <w:num w:numId="11">
    <w:abstractNumId w:val="2"/>
  </w:num>
  <w:num w:numId="12">
    <w:abstractNumId w:val="0"/>
  </w:num>
  <w:num w:numId="13">
    <w:abstractNumId w:val="13"/>
  </w:num>
  <w:num w:numId="1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325"/>
    <w:rsid w:val="0001354A"/>
    <w:rsid w:val="0001770A"/>
    <w:rsid w:val="00020065"/>
    <w:rsid w:val="00027202"/>
    <w:rsid w:val="000333E4"/>
    <w:rsid w:val="000355E3"/>
    <w:rsid w:val="000406DF"/>
    <w:rsid w:val="0004229A"/>
    <w:rsid w:val="0005140A"/>
    <w:rsid w:val="0006108A"/>
    <w:rsid w:val="00063BAA"/>
    <w:rsid w:val="00066E7C"/>
    <w:rsid w:val="000825EB"/>
    <w:rsid w:val="000926D9"/>
    <w:rsid w:val="00095849"/>
    <w:rsid w:val="000A11C3"/>
    <w:rsid w:val="000A5199"/>
    <w:rsid w:val="000B0AA4"/>
    <w:rsid w:val="000C048A"/>
    <w:rsid w:val="000C2BFA"/>
    <w:rsid w:val="000C6258"/>
    <w:rsid w:val="000D7516"/>
    <w:rsid w:val="000E10BE"/>
    <w:rsid w:val="000E1325"/>
    <w:rsid w:val="000E3F8E"/>
    <w:rsid w:val="000E76EF"/>
    <w:rsid w:val="000F25A0"/>
    <w:rsid w:val="000F4B05"/>
    <w:rsid w:val="000F6356"/>
    <w:rsid w:val="000F64BB"/>
    <w:rsid w:val="00100DCD"/>
    <w:rsid w:val="00103BC2"/>
    <w:rsid w:val="00105D23"/>
    <w:rsid w:val="001105E2"/>
    <w:rsid w:val="00117362"/>
    <w:rsid w:val="0012041E"/>
    <w:rsid w:val="00126248"/>
    <w:rsid w:val="00135AFD"/>
    <w:rsid w:val="00140B3D"/>
    <w:rsid w:val="00145ED2"/>
    <w:rsid w:val="00146B50"/>
    <w:rsid w:val="00147836"/>
    <w:rsid w:val="00151464"/>
    <w:rsid w:val="00161C19"/>
    <w:rsid w:val="00163282"/>
    <w:rsid w:val="00163435"/>
    <w:rsid w:val="00167A39"/>
    <w:rsid w:val="00177354"/>
    <w:rsid w:val="0018419D"/>
    <w:rsid w:val="00196D44"/>
    <w:rsid w:val="001A0C59"/>
    <w:rsid w:val="001B12D4"/>
    <w:rsid w:val="001B22FF"/>
    <w:rsid w:val="001B249C"/>
    <w:rsid w:val="001B2576"/>
    <w:rsid w:val="001C5345"/>
    <w:rsid w:val="001D55D1"/>
    <w:rsid w:val="001E3D76"/>
    <w:rsid w:val="001F3632"/>
    <w:rsid w:val="001F42E8"/>
    <w:rsid w:val="001F65B2"/>
    <w:rsid w:val="00203933"/>
    <w:rsid w:val="00215B29"/>
    <w:rsid w:val="00224568"/>
    <w:rsid w:val="00224ACB"/>
    <w:rsid w:val="0022752A"/>
    <w:rsid w:val="002334D4"/>
    <w:rsid w:val="00233EFC"/>
    <w:rsid w:val="002570E4"/>
    <w:rsid w:val="00263311"/>
    <w:rsid w:val="00265081"/>
    <w:rsid w:val="0026548D"/>
    <w:rsid w:val="00266905"/>
    <w:rsid w:val="00270AB1"/>
    <w:rsid w:val="002800BD"/>
    <w:rsid w:val="0029472E"/>
    <w:rsid w:val="00297030"/>
    <w:rsid w:val="00297140"/>
    <w:rsid w:val="002A3352"/>
    <w:rsid w:val="002A5D69"/>
    <w:rsid w:val="002A666A"/>
    <w:rsid w:val="002A713D"/>
    <w:rsid w:val="002C3BA3"/>
    <w:rsid w:val="002C3C4F"/>
    <w:rsid w:val="002D1411"/>
    <w:rsid w:val="002D2CB5"/>
    <w:rsid w:val="002D5F7B"/>
    <w:rsid w:val="002E3B58"/>
    <w:rsid w:val="002E516B"/>
    <w:rsid w:val="002F480C"/>
    <w:rsid w:val="002F55CE"/>
    <w:rsid w:val="002F5738"/>
    <w:rsid w:val="00304970"/>
    <w:rsid w:val="003407E1"/>
    <w:rsid w:val="00340D0F"/>
    <w:rsid w:val="00346098"/>
    <w:rsid w:val="00346BE8"/>
    <w:rsid w:val="00361F06"/>
    <w:rsid w:val="00362021"/>
    <w:rsid w:val="00367071"/>
    <w:rsid w:val="00367101"/>
    <w:rsid w:val="00373204"/>
    <w:rsid w:val="00373346"/>
    <w:rsid w:val="00376217"/>
    <w:rsid w:val="00381C97"/>
    <w:rsid w:val="00387415"/>
    <w:rsid w:val="00395637"/>
    <w:rsid w:val="003A4E97"/>
    <w:rsid w:val="003A52E3"/>
    <w:rsid w:val="003B282C"/>
    <w:rsid w:val="003B4F30"/>
    <w:rsid w:val="003B6EA4"/>
    <w:rsid w:val="003C32EA"/>
    <w:rsid w:val="003C36C5"/>
    <w:rsid w:val="003C7E24"/>
    <w:rsid w:val="003D10FC"/>
    <w:rsid w:val="003D1DCE"/>
    <w:rsid w:val="003F0057"/>
    <w:rsid w:val="003F7FE3"/>
    <w:rsid w:val="00400B1A"/>
    <w:rsid w:val="00416074"/>
    <w:rsid w:val="004354D6"/>
    <w:rsid w:val="004418B5"/>
    <w:rsid w:val="004420A1"/>
    <w:rsid w:val="00444418"/>
    <w:rsid w:val="00451255"/>
    <w:rsid w:val="00452C36"/>
    <w:rsid w:val="004536D9"/>
    <w:rsid w:val="00457266"/>
    <w:rsid w:val="00461198"/>
    <w:rsid w:val="00463516"/>
    <w:rsid w:val="004672AA"/>
    <w:rsid w:val="0048450A"/>
    <w:rsid w:val="0048761D"/>
    <w:rsid w:val="00496059"/>
    <w:rsid w:val="004A3A59"/>
    <w:rsid w:val="004A583F"/>
    <w:rsid w:val="004A5A3D"/>
    <w:rsid w:val="004B29FC"/>
    <w:rsid w:val="004B7390"/>
    <w:rsid w:val="004C2C46"/>
    <w:rsid w:val="004D51BC"/>
    <w:rsid w:val="004D53DE"/>
    <w:rsid w:val="004D7DB5"/>
    <w:rsid w:val="004E0BB1"/>
    <w:rsid w:val="004E20E4"/>
    <w:rsid w:val="004F1005"/>
    <w:rsid w:val="004F3735"/>
    <w:rsid w:val="004F52F7"/>
    <w:rsid w:val="004F70E6"/>
    <w:rsid w:val="00514868"/>
    <w:rsid w:val="00524F0A"/>
    <w:rsid w:val="00526F2C"/>
    <w:rsid w:val="00535414"/>
    <w:rsid w:val="00537D21"/>
    <w:rsid w:val="00564F6A"/>
    <w:rsid w:val="0056797B"/>
    <w:rsid w:val="00583F81"/>
    <w:rsid w:val="005930C9"/>
    <w:rsid w:val="00593108"/>
    <w:rsid w:val="005948BB"/>
    <w:rsid w:val="005A35BA"/>
    <w:rsid w:val="005A7642"/>
    <w:rsid w:val="005B3114"/>
    <w:rsid w:val="005B6889"/>
    <w:rsid w:val="005B7FBF"/>
    <w:rsid w:val="005C3D19"/>
    <w:rsid w:val="005D4F86"/>
    <w:rsid w:val="005F3EA4"/>
    <w:rsid w:val="005F5C84"/>
    <w:rsid w:val="00602C4E"/>
    <w:rsid w:val="00603943"/>
    <w:rsid w:val="00606A6B"/>
    <w:rsid w:val="00610111"/>
    <w:rsid w:val="006104B3"/>
    <w:rsid w:val="00623397"/>
    <w:rsid w:val="00626572"/>
    <w:rsid w:val="006351AE"/>
    <w:rsid w:val="00636EEA"/>
    <w:rsid w:val="00637ABD"/>
    <w:rsid w:val="00640977"/>
    <w:rsid w:val="00643C5C"/>
    <w:rsid w:val="00645B52"/>
    <w:rsid w:val="00645BCD"/>
    <w:rsid w:val="006570FD"/>
    <w:rsid w:val="00657BD1"/>
    <w:rsid w:val="00663A7F"/>
    <w:rsid w:val="00665DD5"/>
    <w:rsid w:val="006702A1"/>
    <w:rsid w:val="00670D0F"/>
    <w:rsid w:val="0067710C"/>
    <w:rsid w:val="0067787A"/>
    <w:rsid w:val="00683A44"/>
    <w:rsid w:val="00684CFE"/>
    <w:rsid w:val="00684EB5"/>
    <w:rsid w:val="0068690D"/>
    <w:rsid w:val="00692E47"/>
    <w:rsid w:val="00697BC4"/>
    <w:rsid w:val="006A1AA7"/>
    <w:rsid w:val="006A2AF4"/>
    <w:rsid w:val="006A68AD"/>
    <w:rsid w:val="006B0B8A"/>
    <w:rsid w:val="006C2221"/>
    <w:rsid w:val="006C428A"/>
    <w:rsid w:val="006C51C1"/>
    <w:rsid w:val="006D4E29"/>
    <w:rsid w:val="006E6EE5"/>
    <w:rsid w:val="006F39B2"/>
    <w:rsid w:val="006F41DD"/>
    <w:rsid w:val="006F4419"/>
    <w:rsid w:val="006F5F30"/>
    <w:rsid w:val="007017CB"/>
    <w:rsid w:val="00701891"/>
    <w:rsid w:val="00701AB0"/>
    <w:rsid w:val="00701FC7"/>
    <w:rsid w:val="00707160"/>
    <w:rsid w:val="007115C7"/>
    <w:rsid w:val="00723AC4"/>
    <w:rsid w:val="00726280"/>
    <w:rsid w:val="00727B6C"/>
    <w:rsid w:val="007350F3"/>
    <w:rsid w:val="00735506"/>
    <w:rsid w:val="00737E02"/>
    <w:rsid w:val="007402CF"/>
    <w:rsid w:val="007435AC"/>
    <w:rsid w:val="00743656"/>
    <w:rsid w:val="00743A39"/>
    <w:rsid w:val="0075257E"/>
    <w:rsid w:val="00752FBD"/>
    <w:rsid w:val="00757865"/>
    <w:rsid w:val="007600BE"/>
    <w:rsid w:val="00763707"/>
    <w:rsid w:val="00763EFC"/>
    <w:rsid w:val="00765050"/>
    <w:rsid w:val="00765188"/>
    <w:rsid w:val="00772E38"/>
    <w:rsid w:val="00772E56"/>
    <w:rsid w:val="00775219"/>
    <w:rsid w:val="0077758B"/>
    <w:rsid w:val="00782B58"/>
    <w:rsid w:val="007914C6"/>
    <w:rsid w:val="00794537"/>
    <w:rsid w:val="007959EB"/>
    <w:rsid w:val="00795AD6"/>
    <w:rsid w:val="007A3025"/>
    <w:rsid w:val="007A3A87"/>
    <w:rsid w:val="007B0414"/>
    <w:rsid w:val="007B6868"/>
    <w:rsid w:val="007B7FB9"/>
    <w:rsid w:val="007C3E53"/>
    <w:rsid w:val="007E3CC7"/>
    <w:rsid w:val="007E7334"/>
    <w:rsid w:val="007E7860"/>
    <w:rsid w:val="00802C16"/>
    <w:rsid w:val="00810831"/>
    <w:rsid w:val="008164D4"/>
    <w:rsid w:val="008222D1"/>
    <w:rsid w:val="008250A9"/>
    <w:rsid w:val="0083118C"/>
    <w:rsid w:val="008335BB"/>
    <w:rsid w:val="00837B75"/>
    <w:rsid w:val="00844DA9"/>
    <w:rsid w:val="00850E53"/>
    <w:rsid w:val="00855B94"/>
    <w:rsid w:val="0087588C"/>
    <w:rsid w:val="00876B21"/>
    <w:rsid w:val="00883468"/>
    <w:rsid w:val="008954ED"/>
    <w:rsid w:val="008A33BD"/>
    <w:rsid w:val="008C2445"/>
    <w:rsid w:val="008D1703"/>
    <w:rsid w:val="008D6DE4"/>
    <w:rsid w:val="008E3998"/>
    <w:rsid w:val="008E3FA0"/>
    <w:rsid w:val="008E7F11"/>
    <w:rsid w:val="008F0054"/>
    <w:rsid w:val="008F0097"/>
    <w:rsid w:val="008F044D"/>
    <w:rsid w:val="008F28FF"/>
    <w:rsid w:val="008F5840"/>
    <w:rsid w:val="00900D9C"/>
    <w:rsid w:val="00914298"/>
    <w:rsid w:val="00923BAF"/>
    <w:rsid w:val="00940B6C"/>
    <w:rsid w:val="00944DD6"/>
    <w:rsid w:val="009475AF"/>
    <w:rsid w:val="00950C3A"/>
    <w:rsid w:val="00950EBA"/>
    <w:rsid w:val="009519B0"/>
    <w:rsid w:val="00957804"/>
    <w:rsid w:val="00964B5C"/>
    <w:rsid w:val="00966135"/>
    <w:rsid w:val="009708F0"/>
    <w:rsid w:val="009710E6"/>
    <w:rsid w:val="00977AA2"/>
    <w:rsid w:val="00977E61"/>
    <w:rsid w:val="0098335A"/>
    <w:rsid w:val="009876B7"/>
    <w:rsid w:val="00994CAB"/>
    <w:rsid w:val="00995775"/>
    <w:rsid w:val="009978D1"/>
    <w:rsid w:val="009A78CB"/>
    <w:rsid w:val="009B6B66"/>
    <w:rsid w:val="009C3011"/>
    <w:rsid w:val="009D006E"/>
    <w:rsid w:val="009D141B"/>
    <w:rsid w:val="009D6D6A"/>
    <w:rsid w:val="009E1DEF"/>
    <w:rsid w:val="009E271C"/>
    <w:rsid w:val="009F1462"/>
    <w:rsid w:val="00A00D6A"/>
    <w:rsid w:val="00A01A28"/>
    <w:rsid w:val="00A02283"/>
    <w:rsid w:val="00A02CB7"/>
    <w:rsid w:val="00A05889"/>
    <w:rsid w:val="00A10F25"/>
    <w:rsid w:val="00A10F5F"/>
    <w:rsid w:val="00A16FE4"/>
    <w:rsid w:val="00A17AC0"/>
    <w:rsid w:val="00A20CCB"/>
    <w:rsid w:val="00A21929"/>
    <w:rsid w:val="00A2623B"/>
    <w:rsid w:val="00A27E78"/>
    <w:rsid w:val="00A41B7D"/>
    <w:rsid w:val="00A4315A"/>
    <w:rsid w:val="00A440E6"/>
    <w:rsid w:val="00A6386C"/>
    <w:rsid w:val="00A654E7"/>
    <w:rsid w:val="00A676F0"/>
    <w:rsid w:val="00A77807"/>
    <w:rsid w:val="00A843B4"/>
    <w:rsid w:val="00A96463"/>
    <w:rsid w:val="00A96C11"/>
    <w:rsid w:val="00AA116E"/>
    <w:rsid w:val="00AA12E7"/>
    <w:rsid w:val="00AA73FA"/>
    <w:rsid w:val="00AB118B"/>
    <w:rsid w:val="00AC3DAB"/>
    <w:rsid w:val="00AD17D7"/>
    <w:rsid w:val="00AD4391"/>
    <w:rsid w:val="00AE5867"/>
    <w:rsid w:val="00AE7078"/>
    <w:rsid w:val="00AE70D6"/>
    <w:rsid w:val="00AF0CDF"/>
    <w:rsid w:val="00B01DCD"/>
    <w:rsid w:val="00B16E87"/>
    <w:rsid w:val="00B2453B"/>
    <w:rsid w:val="00B272B0"/>
    <w:rsid w:val="00B344AA"/>
    <w:rsid w:val="00B4208F"/>
    <w:rsid w:val="00B42C49"/>
    <w:rsid w:val="00B4352E"/>
    <w:rsid w:val="00B45632"/>
    <w:rsid w:val="00B5492D"/>
    <w:rsid w:val="00B54FFF"/>
    <w:rsid w:val="00B56A44"/>
    <w:rsid w:val="00B71359"/>
    <w:rsid w:val="00B72537"/>
    <w:rsid w:val="00B8029A"/>
    <w:rsid w:val="00B85362"/>
    <w:rsid w:val="00B85604"/>
    <w:rsid w:val="00B86584"/>
    <w:rsid w:val="00B94DC8"/>
    <w:rsid w:val="00BB28E4"/>
    <w:rsid w:val="00BC4255"/>
    <w:rsid w:val="00BD5289"/>
    <w:rsid w:val="00BD6EC7"/>
    <w:rsid w:val="00BE62CF"/>
    <w:rsid w:val="00BE7FC9"/>
    <w:rsid w:val="00BF30F9"/>
    <w:rsid w:val="00BF43D5"/>
    <w:rsid w:val="00C07115"/>
    <w:rsid w:val="00C17798"/>
    <w:rsid w:val="00C21328"/>
    <w:rsid w:val="00C21EB3"/>
    <w:rsid w:val="00C246A2"/>
    <w:rsid w:val="00C27F25"/>
    <w:rsid w:val="00C37419"/>
    <w:rsid w:val="00C429E6"/>
    <w:rsid w:val="00C42E31"/>
    <w:rsid w:val="00C45FAB"/>
    <w:rsid w:val="00C53436"/>
    <w:rsid w:val="00C545E9"/>
    <w:rsid w:val="00C57BE4"/>
    <w:rsid w:val="00C63CBA"/>
    <w:rsid w:val="00C7093C"/>
    <w:rsid w:val="00C71962"/>
    <w:rsid w:val="00C81789"/>
    <w:rsid w:val="00C83D65"/>
    <w:rsid w:val="00C857D8"/>
    <w:rsid w:val="00C85A9A"/>
    <w:rsid w:val="00C869DA"/>
    <w:rsid w:val="00C909D2"/>
    <w:rsid w:val="00C93FD4"/>
    <w:rsid w:val="00C94AEA"/>
    <w:rsid w:val="00CA17F4"/>
    <w:rsid w:val="00CA27D5"/>
    <w:rsid w:val="00CA71A5"/>
    <w:rsid w:val="00CC1967"/>
    <w:rsid w:val="00CC368C"/>
    <w:rsid w:val="00CC437A"/>
    <w:rsid w:val="00CC5DAB"/>
    <w:rsid w:val="00CC7302"/>
    <w:rsid w:val="00CD26D5"/>
    <w:rsid w:val="00CE1222"/>
    <w:rsid w:val="00CE17BF"/>
    <w:rsid w:val="00CE4C18"/>
    <w:rsid w:val="00CF2B85"/>
    <w:rsid w:val="00D021FF"/>
    <w:rsid w:val="00D039A0"/>
    <w:rsid w:val="00D066AD"/>
    <w:rsid w:val="00D13DF3"/>
    <w:rsid w:val="00D240F9"/>
    <w:rsid w:val="00D249A0"/>
    <w:rsid w:val="00D25488"/>
    <w:rsid w:val="00D3508B"/>
    <w:rsid w:val="00D40224"/>
    <w:rsid w:val="00D67B3E"/>
    <w:rsid w:val="00D70F1E"/>
    <w:rsid w:val="00D72CD5"/>
    <w:rsid w:val="00D84825"/>
    <w:rsid w:val="00D8654B"/>
    <w:rsid w:val="00D928ED"/>
    <w:rsid w:val="00D96F38"/>
    <w:rsid w:val="00DA7BFE"/>
    <w:rsid w:val="00DB0D87"/>
    <w:rsid w:val="00DB5649"/>
    <w:rsid w:val="00DC051C"/>
    <w:rsid w:val="00DE202C"/>
    <w:rsid w:val="00DE2293"/>
    <w:rsid w:val="00DE584F"/>
    <w:rsid w:val="00DF4905"/>
    <w:rsid w:val="00DF4E1B"/>
    <w:rsid w:val="00E0232E"/>
    <w:rsid w:val="00E07690"/>
    <w:rsid w:val="00E111FE"/>
    <w:rsid w:val="00E14B9E"/>
    <w:rsid w:val="00E23429"/>
    <w:rsid w:val="00E34D35"/>
    <w:rsid w:val="00E62EA6"/>
    <w:rsid w:val="00E6770F"/>
    <w:rsid w:val="00E67AEE"/>
    <w:rsid w:val="00E70444"/>
    <w:rsid w:val="00E773EB"/>
    <w:rsid w:val="00E8469A"/>
    <w:rsid w:val="00E91070"/>
    <w:rsid w:val="00E9243B"/>
    <w:rsid w:val="00E936D4"/>
    <w:rsid w:val="00E945A1"/>
    <w:rsid w:val="00EA3FB7"/>
    <w:rsid w:val="00EB2D2B"/>
    <w:rsid w:val="00EC38B2"/>
    <w:rsid w:val="00EC60BF"/>
    <w:rsid w:val="00EE5E61"/>
    <w:rsid w:val="00EF2140"/>
    <w:rsid w:val="00EF70A3"/>
    <w:rsid w:val="00F03BF6"/>
    <w:rsid w:val="00F04556"/>
    <w:rsid w:val="00F11B74"/>
    <w:rsid w:val="00F15578"/>
    <w:rsid w:val="00F17ABA"/>
    <w:rsid w:val="00F20FBE"/>
    <w:rsid w:val="00F30783"/>
    <w:rsid w:val="00F361F6"/>
    <w:rsid w:val="00F400C6"/>
    <w:rsid w:val="00F407FC"/>
    <w:rsid w:val="00F4247A"/>
    <w:rsid w:val="00F46780"/>
    <w:rsid w:val="00F57E4D"/>
    <w:rsid w:val="00F57E99"/>
    <w:rsid w:val="00F66A7C"/>
    <w:rsid w:val="00F6703C"/>
    <w:rsid w:val="00F766D3"/>
    <w:rsid w:val="00F9208B"/>
    <w:rsid w:val="00F9321C"/>
    <w:rsid w:val="00F97070"/>
    <w:rsid w:val="00FA63B6"/>
    <w:rsid w:val="00FA6EF4"/>
    <w:rsid w:val="00FA6F16"/>
    <w:rsid w:val="00FA7BAC"/>
    <w:rsid w:val="00FB1349"/>
    <w:rsid w:val="00FB6742"/>
    <w:rsid w:val="00FC2EF4"/>
    <w:rsid w:val="00FC43B2"/>
    <w:rsid w:val="00FD7D1E"/>
    <w:rsid w:val="00FE7401"/>
    <w:rsid w:val="00FF2E5A"/>
    <w:rsid w:val="00FF6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DEF42A7"/>
  <w15:chartTrackingRefBased/>
  <w15:docId w15:val="{D67499E2-E61E-4D1A-9A1D-619E4055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429"/>
    <w:pPr>
      <w:spacing w:after="120"/>
    </w:pPr>
  </w:style>
  <w:style w:type="paragraph" w:styleId="Heading1">
    <w:name w:val="heading 1"/>
    <w:basedOn w:val="Normal"/>
    <w:next w:val="Normal"/>
    <w:link w:val="Heading1Char"/>
    <w:uiPriority w:val="9"/>
    <w:qFormat/>
    <w:rsid w:val="004D51BC"/>
    <w:pPr>
      <w:keepNext/>
      <w:keepLines/>
      <w:spacing w:before="240" w:line="240" w:lineRule="auto"/>
      <w:outlineLvl w:val="0"/>
    </w:pPr>
    <w:rPr>
      <w:rFonts w:asciiTheme="majorHAnsi" w:eastAsiaTheme="majorEastAsia" w:hAnsiTheme="majorHAnsi" w:cstheme="majorBidi"/>
      <w:color w:val="00437B" w:themeColor="accent5"/>
      <w:sz w:val="32"/>
      <w:szCs w:val="32"/>
    </w:rPr>
  </w:style>
  <w:style w:type="paragraph" w:styleId="Heading2">
    <w:name w:val="heading 2"/>
    <w:link w:val="Heading2Char"/>
    <w:uiPriority w:val="9"/>
    <w:unhideWhenUsed/>
    <w:qFormat/>
    <w:rsid w:val="004D51BC"/>
    <w:pPr>
      <w:keepNext/>
      <w:keepLines/>
      <w:spacing w:before="120" w:after="0" w:line="240" w:lineRule="auto"/>
      <w:outlineLvl w:val="1"/>
    </w:pPr>
    <w:rPr>
      <w:rFonts w:asciiTheme="majorHAnsi" w:eastAsiaTheme="majorEastAsia" w:hAnsiTheme="majorHAnsi" w:cstheme="majorBidi"/>
      <w:color w:val="E65500" w:themeColor="accent2" w:themeShade="BF"/>
      <w:sz w:val="28"/>
      <w:szCs w:val="26"/>
    </w:rPr>
  </w:style>
  <w:style w:type="paragraph" w:styleId="Heading3">
    <w:name w:val="heading 3"/>
    <w:basedOn w:val="Normal"/>
    <w:next w:val="Normal"/>
    <w:link w:val="Heading3Char"/>
    <w:uiPriority w:val="9"/>
    <w:unhideWhenUsed/>
    <w:qFormat/>
    <w:rsid w:val="00A02283"/>
    <w:pPr>
      <w:keepNext/>
      <w:keepLines/>
      <w:spacing w:before="120" w:after="0" w:line="240" w:lineRule="auto"/>
      <w:outlineLvl w:val="2"/>
    </w:pPr>
    <w:rPr>
      <w:rFonts w:asciiTheme="majorHAnsi" w:eastAsiaTheme="majorEastAsia" w:hAnsiTheme="majorHAnsi" w:cstheme="majorBidi"/>
      <w:color w:val="1F6096" w:themeColor="accent1" w:themeShade="7F"/>
      <w:sz w:val="24"/>
      <w:szCs w:val="24"/>
    </w:rPr>
  </w:style>
  <w:style w:type="paragraph" w:styleId="Heading4">
    <w:name w:val="heading 4"/>
    <w:basedOn w:val="Normal"/>
    <w:next w:val="Normal"/>
    <w:link w:val="Heading4Char"/>
    <w:uiPriority w:val="9"/>
    <w:unhideWhenUsed/>
    <w:qFormat/>
    <w:rsid w:val="00224ACB"/>
    <w:pPr>
      <w:keepNext/>
      <w:keepLines/>
      <w:spacing w:before="120" w:after="0"/>
      <w:outlineLvl w:val="3"/>
    </w:pPr>
    <w:rPr>
      <w:rFonts w:asciiTheme="majorHAnsi" w:eastAsiaTheme="majorEastAsia" w:hAnsiTheme="majorHAnsi" w:cstheme="majorBidi"/>
      <w:i/>
      <w:iCs/>
      <w:color w:val="3A8FD6" w:themeColor="accent1" w:themeShade="BF"/>
    </w:rPr>
  </w:style>
  <w:style w:type="paragraph" w:styleId="Heading5">
    <w:name w:val="heading 5"/>
    <w:basedOn w:val="Normal"/>
    <w:next w:val="Normal"/>
    <w:link w:val="Heading5Char"/>
    <w:uiPriority w:val="9"/>
    <w:unhideWhenUsed/>
    <w:qFormat/>
    <w:rsid w:val="00297140"/>
    <w:pPr>
      <w:keepNext/>
      <w:keepLines/>
      <w:spacing w:before="80" w:after="40" w:line="240" w:lineRule="auto"/>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373204"/>
    <w:pPr>
      <w:keepNext/>
      <w:keepLines/>
      <w:numPr>
        <w:ilvl w:val="5"/>
        <w:numId w:val="3"/>
      </w:numPr>
      <w:spacing w:before="40" w:line="240" w:lineRule="auto"/>
      <w:outlineLvl w:val="5"/>
    </w:pPr>
    <w:rPr>
      <w:rFonts w:asciiTheme="majorHAnsi" w:eastAsiaTheme="majorEastAsia" w:hAnsiTheme="majorHAnsi" w:cstheme="majorBidi"/>
      <w:color w:val="1F6096" w:themeColor="accent1" w:themeShade="7F"/>
    </w:rPr>
  </w:style>
  <w:style w:type="paragraph" w:styleId="Heading7">
    <w:name w:val="heading 7"/>
    <w:basedOn w:val="Normal"/>
    <w:next w:val="Normal"/>
    <w:link w:val="Heading7Char"/>
    <w:uiPriority w:val="9"/>
    <w:semiHidden/>
    <w:unhideWhenUsed/>
    <w:qFormat/>
    <w:rsid w:val="00373204"/>
    <w:pPr>
      <w:keepNext/>
      <w:keepLines/>
      <w:numPr>
        <w:ilvl w:val="6"/>
        <w:numId w:val="3"/>
      </w:numPr>
      <w:spacing w:before="40" w:line="240" w:lineRule="auto"/>
      <w:outlineLvl w:val="6"/>
    </w:pPr>
    <w:rPr>
      <w:rFonts w:asciiTheme="majorHAnsi" w:eastAsiaTheme="majorEastAsia" w:hAnsiTheme="majorHAnsi" w:cstheme="majorBidi"/>
      <w:i/>
      <w:iCs/>
      <w:color w:val="1F6096" w:themeColor="accent1" w:themeShade="7F"/>
    </w:rPr>
  </w:style>
  <w:style w:type="paragraph" w:styleId="Heading8">
    <w:name w:val="heading 8"/>
    <w:basedOn w:val="Normal"/>
    <w:next w:val="Normal"/>
    <w:link w:val="Heading8Char"/>
    <w:uiPriority w:val="9"/>
    <w:semiHidden/>
    <w:unhideWhenUsed/>
    <w:qFormat/>
    <w:rsid w:val="00373204"/>
    <w:pPr>
      <w:keepNext/>
      <w:keepLines/>
      <w:numPr>
        <w:ilvl w:val="7"/>
        <w:numId w:val="3"/>
      </w:numPr>
      <w:spacing w:before="4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73204"/>
    <w:pPr>
      <w:keepNext/>
      <w:keepLines/>
      <w:numPr>
        <w:ilvl w:val="8"/>
        <w:numId w:val="3"/>
      </w:numPr>
      <w:spacing w:before="4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3DE"/>
    <w:pPr>
      <w:ind w:left="720"/>
      <w:contextualSpacing/>
    </w:pPr>
  </w:style>
  <w:style w:type="paragraph" w:styleId="BodyText">
    <w:name w:val="Body Text"/>
    <w:basedOn w:val="Normal"/>
    <w:link w:val="BodyTextChar"/>
    <w:uiPriority w:val="99"/>
    <w:unhideWhenUsed/>
    <w:qFormat/>
    <w:rsid w:val="00977AA2"/>
    <w:pPr>
      <w:spacing w:before="120" w:after="0"/>
    </w:pPr>
    <w:rPr>
      <w:rFonts w:eastAsia="Times New Roman"/>
    </w:rPr>
  </w:style>
  <w:style w:type="character" w:customStyle="1" w:styleId="BodyTextChar">
    <w:name w:val="Body Text Char"/>
    <w:basedOn w:val="DefaultParagraphFont"/>
    <w:link w:val="BodyText"/>
    <w:uiPriority w:val="99"/>
    <w:rsid w:val="00977AA2"/>
    <w:rPr>
      <w:rFonts w:eastAsia="Times New Roman"/>
    </w:rPr>
  </w:style>
  <w:style w:type="paragraph" w:styleId="FootnoteText">
    <w:name w:val="footnote text"/>
    <w:basedOn w:val="Normal"/>
    <w:link w:val="FootnoteTextChar"/>
    <w:uiPriority w:val="99"/>
    <w:qFormat/>
    <w:rsid w:val="009475AF"/>
    <w:pPr>
      <w:spacing w:after="0" w:line="240" w:lineRule="auto"/>
    </w:pPr>
    <w:rPr>
      <w:rFonts w:eastAsia="Times New Roman" w:cs="Times New Roman"/>
      <w:sz w:val="18"/>
      <w:szCs w:val="18"/>
    </w:rPr>
  </w:style>
  <w:style w:type="character" w:customStyle="1" w:styleId="FootnoteTextChar">
    <w:name w:val="Footnote Text Char"/>
    <w:basedOn w:val="DefaultParagraphFont"/>
    <w:link w:val="FootnoteText"/>
    <w:uiPriority w:val="99"/>
    <w:rsid w:val="009475AF"/>
    <w:rPr>
      <w:rFonts w:eastAsia="Times New Roman" w:cs="Times New Roman"/>
      <w:sz w:val="18"/>
      <w:szCs w:val="18"/>
    </w:rPr>
  </w:style>
  <w:style w:type="character" w:styleId="FootnoteReference">
    <w:name w:val="footnote reference"/>
    <w:uiPriority w:val="99"/>
    <w:qFormat/>
    <w:rsid w:val="00E9243B"/>
    <w:rPr>
      <w:vertAlign w:val="superscript"/>
    </w:rPr>
  </w:style>
  <w:style w:type="paragraph" w:customStyle="1" w:styleId="Bullet1">
    <w:name w:val="Bullet 1"/>
    <w:basedOn w:val="ListParagraph"/>
    <w:qFormat/>
    <w:rsid w:val="00A02283"/>
    <w:pPr>
      <w:numPr>
        <w:numId w:val="1"/>
      </w:numPr>
      <w:spacing w:before="120" w:after="0" w:line="240" w:lineRule="auto"/>
    </w:pPr>
    <w:rPr>
      <w:rFonts w:cstheme="minorHAnsi"/>
      <w:bCs/>
    </w:rPr>
  </w:style>
  <w:style w:type="character" w:customStyle="1" w:styleId="apple-converted-space">
    <w:name w:val="apple-converted-space"/>
    <w:basedOn w:val="DefaultParagraphFont"/>
    <w:rsid w:val="00140B3D"/>
  </w:style>
  <w:style w:type="paragraph" w:styleId="BalloonText">
    <w:name w:val="Balloon Text"/>
    <w:basedOn w:val="Normal"/>
    <w:link w:val="BalloonTextChar"/>
    <w:uiPriority w:val="99"/>
    <w:semiHidden/>
    <w:unhideWhenUsed/>
    <w:rsid w:val="00AF0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CDF"/>
    <w:rPr>
      <w:rFonts w:ascii="Segoe UI" w:hAnsi="Segoe UI" w:cs="Segoe UI"/>
      <w:sz w:val="18"/>
      <w:szCs w:val="18"/>
    </w:rPr>
  </w:style>
  <w:style w:type="character" w:customStyle="1" w:styleId="Heading1Char">
    <w:name w:val="Heading 1 Char"/>
    <w:basedOn w:val="DefaultParagraphFont"/>
    <w:link w:val="Heading1"/>
    <w:uiPriority w:val="9"/>
    <w:rsid w:val="004D51BC"/>
    <w:rPr>
      <w:rFonts w:asciiTheme="majorHAnsi" w:eastAsiaTheme="majorEastAsia" w:hAnsiTheme="majorHAnsi" w:cstheme="majorBidi"/>
      <w:color w:val="00437B" w:themeColor="accent5"/>
      <w:sz w:val="32"/>
      <w:szCs w:val="32"/>
    </w:rPr>
  </w:style>
  <w:style w:type="character" w:customStyle="1" w:styleId="Heading2Char">
    <w:name w:val="Heading 2 Char"/>
    <w:basedOn w:val="DefaultParagraphFont"/>
    <w:link w:val="Heading2"/>
    <w:uiPriority w:val="9"/>
    <w:rsid w:val="004D51BC"/>
    <w:rPr>
      <w:rFonts w:asciiTheme="majorHAnsi" w:eastAsiaTheme="majorEastAsia" w:hAnsiTheme="majorHAnsi" w:cstheme="majorBidi"/>
      <w:color w:val="E65500" w:themeColor="accent2" w:themeShade="BF"/>
      <w:sz w:val="28"/>
      <w:szCs w:val="26"/>
    </w:rPr>
  </w:style>
  <w:style w:type="character" w:styleId="CommentReference">
    <w:name w:val="annotation reference"/>
    <w:basedOn w:val="DefaultParagraphFont"/>
    <w:uiPriority w:val="99"/>
    <w:semiHidden/>
    <w:unhideWhenUsed/>
    <w:rsid w:val="00D8654B"/>
    <w:rPr>
      <w:sz w:val="16"/>
      <w:szCs w:val="16"/>
    </w:rPr>
  </w:style>
  <w:style w:type="paragraph" w:styleId="CommentText">
    <w:name w:val="annotation text"/>
    <w:basedOn w:val="Normal"/>
    <w:link w:val="CommentTextChar"/>
    <w:uiPriority w:val="99"/>
    <w:unhideWhenUsed/>
    <w:rsid w:val="00D8654B"/>
    <w:pPr>
      <w:spacing w:line="240" w:lineRule="auto"/>
    </w:pPr>
    <w:rPr>
      <w:sz w:val="20"/>
      <w:szCs w:val="20"/>
    </w:rPr>
  </w:style>
  <w:style w:type="character" w:customStyle="1" w:styleId="CommentTextChar">
    <w:name w:val="Comment Text Char"/>
    <w:basedOn w:val="DefaultParagraphFont"/>
    <w:link w:val="CommentText"/>
    <w:uiPriority w:val="99"/>
    <w:rsid w:val="00D8654B"/>
    <w:rPr>
      <w:sz w:val="20"/>
      <w:szCs w:val="20"/>
    </w:rPr>
  </w:style>
  <w:style w:type="paragraph" w:styleId="CommentSubject">
    <w:name w:val="annotation subject"/>
    <w:basedOn w:val="CommentText"/>
    <w:next w:val="CommentText"/>
    <w:link w:val="CommentSubjectChar"/>
    <w:uiPriority w:val="99"/>
    <w:semiHidden/>
    <w:unhideWhenUsed/>
    <w:rsid w:val="00D8654B"/>
    <w:rPr>
      <w:b/>
      <w:bCs/>
    </w:rPr>
  </w:style>
  <w:style w:type="character" w:customStyle="1" w:styleId="CommentSubjectChar">
    <w:name w:val="Comment Subject Char"/>
    <w:basedOn w:val="CommentTextChar"/>
    <w:link w:val="CommentSubject"/>
    <w:uiPriority w:val="99"/>
    <w:semiHidden/>
    <w:rsid w:val="00D8654B"/>
    <w:rPr>
      <w:b/>
      <w:bCs/>
      <w:sz w:val="20"/>
      <w:szCs w:val="20"/>
    </w:rPr>
  </w:style>
  <w:style w:type="character" w:customStyle="1" w:styleId="Heading3Char">
    <w:name w:val="Heading 3 Char"/>
    <w:basedOn w:val="DefaultParagraphFont"/>
    <w:link w:val="Heading3"/>
    <w:uiPriority w:val="9"/>
    <w:rsid w:val="00A02283"/>
    <w:rPr>
      <w:rFonts w:asciiTheme="majorHAnsi" w:eastAsiaTheme="majorEastAsia" w:hAnsiTheme="majorHAnsi" w:cstheme="majorBidi"/>
      <w:color w:val="1F6096" w:themeColor="accent1" w:themeShade="7F"/>
      <w:sz w:val="24"/>
      <w:szCs w:val="24"/>
    </w:rPr>
  </w:style>
  <w:style w:type="character" w:customStyle="1" w:styleId="Heading4Char">
    <w:name w:val="Heading 4 Char"/>
    <w:basedOn w:val="DefaultParagraphFont"/>
    <w:link w:val="Heading4"/>
    <w:uiPriority w:val="9"/>
    <w:rsid w:val="00224ACB"/>
    <w:rPr>
      <w:rFonts w:asciiTheme="majorHAnsi" w:eastAsiaTheme="majorEastAsia" w:hAnsiTheme="majorHAnsi" w:cstheme="majorBidi"/>
      <w:i/>
      <w:iCs/>
      <w:color w:val="3A8FD6" w:themeColor="accent1" w:themeShade="BF"/>
    </w:rPr>
  </w:style>
  <w:style w:type="paragraph" w:styleId="Header">
    <w:name w:val="header"/>
    <w:basedOn w:val="Normal"/>
    <w:link w:val="HeaderChar"/>
    <w:uiPriority w:val="99"/>
    <w:unhideWhenUsed/>
    <w:rsid w:val="00DE2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293"/>
  </w:style>
  <w:style w:type="paragraph" w:styleId="Footer">
    <w:name w:val="footer"/>
    <w:basedOn w:val="Normal"/>
    <w:link w:val="FooterChar"/>
    <w:uiPriority w:val="99"/>
    <w:unhideWhenUsed/>
    <w:rsid w:val="00DE2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293"/>
  </w:style>
  <w:style w:type="table" w:styleId="TableGrid">
    <w:name w:val="Table Grid"/>
    <w:basedOn w:val="TableNormal"/>
    <w:uiPriority w:val="39"/>
    <w:rsid w:val="00637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F5F30"/>
    <w:pPr>
      <w:spacing w:after="200" w:line="240" w:lineRule="auto"/>
    </w:pPr>
    <w:rPr>
      <w:i/>
      <w:iCs/>
      <w:color w:val="44546A" w:themeColor="text2"/>
      <w:sz w:val="18"/>
      <w:szCs w:val="18"/>
    </w:rPr>
  </w:style>
  <w:style w:type="paragraph" w:styleId="NoSpacing">
    <w:name w:val="No Spacing"/>
    <w:link w:val="NoSpacingChar"/>
    <w:uiPriority w:val="1"/>
    <w:qFormat/>
    <w:rsid w:val="00C909D2"/>
    <w:pPr>
      <w:spacing w:after="0" w:line="240" w:lineRule="auto"/>
    </w:pPr>
  </w:style>
  <w:style w:type="character" w:styleId="Hyperlink">
    <w:name w:val="Hyperlink"/>
    <w:basedOn w:val="DefaultParagraphFont"/>
    <w:uiPriority w:val="99"/>
    <w:unhideWhenUsed/>
    <w:rsid w:val="00C909D2"/>
    <w:rPr>
      <w:color w:val="0563C1" w:themeColor="hyperlink"/>
      <w:u w:val="single"/>
    </w:rPr>
  </w:style>
  <w:style w:type="paragraph" w:styleId="Revision">
    <w:name w:val="Revision"/>
    <w:hidden/>
    <w:uiPriority w:val="99"/>
    <w:semiHidden/>
    <w:rsid w:val="00697BC4"/>
    <w:pPr>
      <w:spacing w:after="0" w:line="240" w:lineRule="auto"/>
    </w:pPr>
  </w:style>
  <w:style w:type="paragraph" w:styleId="NormalWeb">
    <w:name w:val="Normal (Web)"/>
    <w:basedOn w:val="Normal"/>
    <w:uiPriority w:val="99"/>
    <w:semiHidden/>
    <w:unhideWhenUsed/>
    <w:rsid w:val="005A764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81C97"/>
    <w:rPr>
      <w:color w:val="954F72" w:themeColor="followedHyperlink"/>
      <w:u w:val="single"/>
    </w:rPr>
  </w:style>
  <w:style w:type="paragraph" w:customStyle="1" w:styleId="BodyTextMediumItalic">
    <w:name w:val="Body Text Medium Italic"/>
    <w:basedOn w:val="BodyText"/>
    <w:link w:val="BodyTextMediumItalicChar"/>
    <w:qFormat/>
    <w:rsid w:val="000C2BFA"/>
    <w:rPr>
      <w:rFonts w:asciiTheme="majorHAnsi" w:hAnsiTheme="majorHAnsi"/>
      <w:i/>
    </w:rPr>
  </w:style>
  <w:style w:type="paragraph" w:customStyle="1" w:styleId="BodyTextposthead">
    <w:name w:val="Body Text post head"/>
    <w:basedOn w:val="BodyText"/>
    <w:link w:val="BodyTextpostheadChar"/>
    <w:qFormat/>
    <w:rsid w:val="009475AF"/>
  </w:style>
  <w:style w:type="character" w:customStyle="1" w:styleId="BodyTextMediumItalicChar">
    <w:name w:val="Body Text Medium Italic Char"/>
    <w:basedOn w:val="BodyTextChar"/>
    <w:link w:val="BodyTextMediumItalic"/>
    <w:rsid w:val="000C2BFA"/>
    <w:rPr>
      <w:rFonts w:asciiTheme="majorHAnsi" w:eastAsia="Times New Roman" w:hAnsiTheme="majorHAnsi"/>
      <w:i/>
    </w:rPr>
  </w:style>
  <w:style w:type="table" w:styleId="GridTable4-Accent1">
    <w:name w:val="Grid Table 4 Accent 1"/>
    <w:basedOn w:val="TableNormal"/>
    <w:uiPriority w:val="49"/>
    <w:rsid w:val="00224ACB"/>
    <w:pPr>
      <w:spacing w:after="0" w:line="240" w:lineRule="auto"/>
    </w:pPr>
    <w:tblPr>
      <w:tblStyleRowBandSize w:val="1"/>
      <w:tblStyleColBandSize w:val="1"/>
      <w:tblBorders>
        <w:top w:val="single" w:sz="4" w:space="0" w:color="B6D5F0" w:themeColor="accent1" w:themeTint="99"/>
        <w:left w:val="single" w:sz="4" w:space="0" w:color="B6D5F0" w:themeColor="accent1" w:themeTint="99"/>
        <w:bottom w:val="single" w:sz="4" w:space="0" w:color="B6D5F0" w:themeColor="accent1" w:themeTint="99"/>
        <w:right w:val="single" w:sz="4" w:space="0" w:color="B6D5F0" w:themeColor="accent1" w:themeTint="99"/>
        <w:insideH w:val="single" w:sz="4" w:space="0" w:color="B6D5F0" w:themeColor="accent1" w:themeTint="99"/>
        <w:insideV w:val="single" w:sz="4" w:space="0" w:color="B6D5F0" w:themeColor="accent1" w:themeTint="99"/>
      </w:tblBorders>
    </w:tblPr>
    <w:tblStylePr w:type="firstRow">
      <w:rPr>
        <w:b/>
        <w:bCs/>
        <w:color w:val="FFFFFF" w:themeColor="background1"/>
      </w:rPr>
      <w:tblPr/>
      <w:tcPr>
        <w:tcBorders>
          <w:top w:val="single" w:sz="4" w:space="0" w:color="86BBE6" w:themeColor="accent1"/>
          <w:left w:val="single" w:sz="4" w:space="0" w:color="86BBE6" w:themeColor="accent1"/>
          <w:bottom w:val="single" w:sz="4" w:space="0" w:color="86BBE6" w:themeColor="accent1"/>
          <w:right w:val="single" w:sz="4" w:space="0" w:color="86BBE6" w:themeColor="accent1"/>
          <w:insideH w:val="nil"/>
          <w:insideV w:val="nil"/>
        </w:tcBorders>
        <w:shd w:val="clear" w:color="auto" w:fill="86BBE6" w:themeFill="accent1"/>
      </w:tcPr>
    </w:tblStylePr>
    <w:tblStylePr w:type="lastRow">
      <w:rPr>
        <w:b/>
        <w:bCs/>
      </w:rPr>
      <w:tblPr/>
      <w:tcPr>
        <w:tcBorders>
          <w:top w:val="double" w:sz="4" w:space="0" w:color="86BBE6" w:themeColor="accent1"/>
        </w:tcBorders>
      </w:tcPr>
    </w:tblStylePr>
    <w:tblStylePr w:type="firstCol">
      <w:rPr>
        <w:b/>
        <w:bCs/>
      </w:rPr>
    </w:tblStylePr>
    <w:tblStylePr w:type="lastCol">
      <w:rPr>
        <w:b/>
        <w:bCs/>
      </w:rPr>
    </w:tblStylePr>
    <w:tblStylePr w:type="band1Vert">
      <w:tblPr/>
      <w:tcPr>
        <w:shd w:val="clear" w:color="auto" w:fill="E6F1FA" w:themeFill="accent1" w:themeFillTint="33"/>
      </w:tcPr>
    </w:tblStylePr>
    <w:tblStylePr w:type="band1Horz">
      <w:tblPr/>
      <w:tcPr>
        <w:shd w:val="clear" w:color="auto" w:fill="E6F1FA" w:themeFill="accent1" w:themeFillTint="33"/>
      </w:tcPr>
    </w:tblStylePr>
  </w:style>
  <w:style w:type="character" w:customStyle="1" w:styleId="BodyTextpostheadChar">
    <w:name w:val="Body Text post head Char"/>
    <w:basedOn w:val="BodyTextChar"/>
    <w:link w:val="BodyTextposthead"/>
    <w:rsid w:val="009475AF"/>
    <w:rPr>
      <w:rFonts w:eastAsia="Times New Roman"/>
    </w:rPr>
  </w:style>
  <w:style w:type="table" w:customStyle="1" w:styleId="TexasToolkittable1">
    <w:name w:val="Texas Toolkit table 1"/>
    <w:basedOn w:val="TableNormal"/>
    <w:uiPriority w:val="99"/>
    <w:rsid w:val="00E0232E"/>
    <w:pPr>
      <w:spacing w:after="0" w:line="240" w:lineRule="auto"/>
    </w:pPr>
    <w:tblPr>
      <w:tblStyleRowBandSize w:val="1"/>
      <w:jc w:val="center"/>
      <w:tblBorders>
        <w:top w:val="single" w:sz="4" w:space="0" w:color="3A8FD6" w:themeColor="accent1" w:themeShade="BF"/>
        <w:left w:val="single" w:sz="4" w:space="0" w:color="3A8FD6" w:themeColor="accent1" w:themeShade="BF"/>
        <w:bottom w:val="single" w:sz="4" w:space="0" w:color="3A8FD6" w:themeColor="accent1" w:themeShade="BF"/>
        <w:right w:val="single" w:sz="4" w:space="0" w:color="3A8FD6" w:themeColor="accent1" w:themeShade="BF"/>
        <w:insideH w:val="single" w:sz="4" w:space="0" w:color="3A8FD6" w:themeColor="accent1" w:themeShade="BF"/>
        <w:insideV w:val="single" w:sz="4" w:space="0" w:color="3A8FD6" w:themeColor="accent1" w:themeShade="BF"/>
      </w:tblBorders>
    </w:tblPr>
    <w:trPr>
      <w:jc w:val="center"/>
    </w:trPr>
    <w:tcPr>
      <w:shd w:val="clear" w:color="auto" w:fill="auto"/>
    </w:tcPr>
    <w:tblStylePr w:type="firstRow">
      <w:tblPr/>
      <w:tcPr>
        <w:tcBorders>
          <w:insideV w:val="single" w:sz="4" w:space="0" w:color="FFFFFF" w:themeColor="background1"/>
        </w:tcBorders>
        <w:shd w:val="clear" w:color="auto" w:fill="3A8FD6" w:themeFill="accent1" w:themeFillShade="BF"/>
      </w:tcPr>
    </w:tblStylePr>
    <w:tblStylePr w:type="band2Horz">
      <w:tblPr/>
      <w:tcPr>
        <w:shd w:val="clear" w:color="auto" w:fill="E6F1FA" w:themeFill="accent1" w:themeFillTint="33"/>
      </w:tcPr>
    </w:tblStylePr>
  </w:style>
  <w:style w:type="paragraph" w:customStyle="1" w:styleId="TableColumnHeadingLeft">
    <w:name w:val="Table Column Heading Left"/>
    <w:basedOn w:val="Normal"/>
    <w:link w:val="TableColumnHeadingLeftChar"/>
    <w:qFormat/>
    <w:rsid w:val="00B01DCD"/>
    <w:pPr>
      <w:keepNext/>
      <w:spacing w:before="40" w:after="60" w:line="240" w:lineRule="auto"/>
    </w:pPr>
    <w:rPr>
      <w:rFonts w:asciiTheme="majorHAnsi" w:hAnsiTheme="majorHAnsi"/>
      <w:color w:val="FFFFFF" w:themeColor="background1"/>
      <w:sz w:val="20"/>
    </w:rPr>
  </w:style>
  <w:style w:type="paragraph" w:customStyle="1" w:styleId="TableColumnHeadingCenter">
    <w:name w:val="Table Column Heading Center"/>
    <w:basedOn w:val="TableColumnHeadingLeft"/>
    <w:link w:val="TableColumnHeadingCenterChar"/>
    <w:qFormat/>
    <w:rsid w:val="00B4352E"/>
    <w:pPr>
      <w:jc w:val="center"/>
    </w:pPr>
  </w:style>
  <w:style w:type="character" w:customStyle="1" w:styleId="TableColumnHeadingLeftChar">
    <w:name w:val="Table Column Heading Left Char"/>
    <w:basedOn w:val="DefaultParagraphFont"/>
    <w:link w:val="TableColumnHeadingLeft"/>
    <w:rsid w:val="00B01DCD"/>
    <w:rPr>
      <w:rFonts w:asciiTheme="majorHAnsi" w:hAnsiTheme="majorHAnsi"/>
      <w:color w:val="FFFFFF" w:themeColor="background1"/>
      <w:sz w:val="20"/>
    </w:rPr>
  </w:style>
  <w:style w:type="paragraph" w:customStyle="1" w:styleId="TableText">
    <w:name w:val="Table Text"/>
    <w:link w:val="TableTextChar"/>
    <w:qFormat/>
    <w:rsid w:val="00B4352E"/>
    <w:pPr>
      <w:spacing w:before="40" w:after="60" w:line="240" w:lineRule="auto"/>
    </w:pPr>
    <w:rPr>
      <w:sz w:val="20"/>
    </w:rPr>
  </w:style>
  <w:style w:type="character" w:customStyle="1" w:styleId="TableColumnHeadingCenterChar">
    <w:name w:val="Table Column Heading Center Char"/>
    <w:basedOn w:val="TableColumnHeadingLeftChar"/>
    <w:link w:val="TableColumnHeadingCenter"/>
    <w:rsid w:val="00B4352E"/>
    <w:rPr>
      <w:rFonts w:asciiTheme="majorHAnsi" w:hAnsiTheme="majorHAnsi"/>
      <w:color w:val="FFFFFF" w:themeColor="background1"/>
      <w:sz w:val="20"/>
    </w:rPr>
  </w:style>
  <w:style w:type="paragraph" w:customStyle="1" w:styleId="TableTextCentered">
    <w:name w:val="Table Text Centered"/>
    <w:basedOn w:val="TableText"/>
    <w:link w:val="TableTextCenteredChar"/>
    <w:qFormat/>
    <w:rsid w:val="00B4352E"/>
    <w:pPr>
      <w:jc w:val="center"/>
    </w:pPr>
  </w:style>
  <w:style w:type="character" w:customStyle="1" w:styleId="TableTextChar">
    <w:name w:val="Table Text Char"/>
    <w:basedOn w:val="DefaultParagraphFont"/>
    <w:link w:val="TableText"/>
    <w:rsid w:val="00B4352E"/>
    <w:rPr>
      <w:sz w:val="20"/>
    </w:rPr>
  </w:style>
  <w:style w:type="paragraph" w:customStyle="1" w:styleId="TableSubheading">
    <w:name w:val="Table Subheading"/>
    <w:basedOn w:val="TableText"/>
    <w:link w:val="TableSubheadingChar"/>
    <w:qFormat/>
    <w:rsid w:val="00E0232E"/>
    <w:rPr>
      <w:rFonts w:asciiTheme="majorHAnsi" w:hAnsiTheme="majorHAnsi"/>
    </w:rPr>
  </w:style>
  <w:style w:type="paragraph" w:customStyle="1" w:styleId="TableTextMediumItalic">
    <w:name w:val="Table Text Medium Italic"/>
    <w:basedOn w:val="TableText"/>
    <w:link w:val="TableTextMediumItalicChar"/>
    <w:qFormat/>
    <w:rsid w:val="00E0232E"/>
    <w:rPr>
      <w:rFonts w:asciiTheme="majorHAnsi" w:hAnsiTheme="majorHAnsi"/>
      <w:i/>
    </w:rPr>
  </w:style>
  <w:style w:type="character" w:customStyle="1" w:styleId="TableSubheadingChar">
    <w:name w:val="Table Subheading Char"/>
    <w:basedOn w:val="TableTextChar"/>
    <w:link w:val="TableSubheading"/>
    <w:rsid w:val="00E0232E"/>
    <w:rPr>
      <w:rFonts w:asciiTheme="majorHAnsi" w:hAnsiTheme="majorHAnsi"/>
      <w:sz w:val="20"/>
    </w:rPr>
  </w:style>
  <w:style w:type="character" w:customStyle="1" w:styleId="TableTextMediumItalicChar">
    <w:name w:val="Table Text Medium Italic Char"/>
    <w:basedOn w:val="TableTextChar"/>
    <w:link w:val="TableTextMediumItalic"/>
    <w:rsid w:val="00E0232E"/>
    <w:rPr>
      <w:rFonts w:asciiTheme="majorHAnsi" w:hAnsiTheme="majorHAnsi"/>
      <w:i/>
      <w:sz w:val="20"/>
    </w:rPr>
  </w:style>
  <w:style w:type="table" w:customStyle="1" w:styleId="TexasToolkitCall-Outbox">
    <w:name w:val="Texas Toolkit Call-Out box"/>
    <w:basedOn w:val="TableNormal"/>
    <w:uiPriority w:val="99"/>
    <w:rsid w:val="00E0232E"/>
    <w:pPr>
      <w:spacing w:after="0" w:line="240" w:lineRule="auto"/>
    </w:pPr>
    <w:tblPr>
      <w:tblBorders>
        <w:top w:val="single" w:sz="18" w:space="0" w:color="FF8135" w:themeColor="accent2"/>
        <w:bottom w:val="single" w:sz="18" w:space="0" w:color="FF8135" w:themeColor="accent2"/>
      </w:tblBorders>
    </w:tblPr>
    <w:tcPr>
      <w:shd w:val="clear" w:color="auto" w:fill="FFE5D6" w:themeFill="accent2" w:themeFillTint="33"/>
    </w:tcPr>
  </w:style>
  <w:style w:type="paragraph" w:customStyle="1" w:styleId="TableSubheadingCentered">
    <w:name w:val="Table Subheading Centered"/>
    <w:basedOn w:val="TableTextCentered"/>
    <w:qFormat/>
    <w:rsid w:val="00463516"/>
    <w:rPr>
      <w:rFonts w:asciiTheme="majorHAnsi" w:hAnsiTheme="majorHAnsi"/>
    </w:rPr>
  </w:style>
  <w:style w:type="character" w:customStyle="1" w:styleId="Heading5Char">
    <w:name w:val="Heading 5 Char"/>
    <w:basedOn w:val="DefaultParagraphFont"/>
    <w:link w:val="Heading5"/>
    <w:uiPriority w:val="9"/>
    <w:rsid w:val="00297140"/>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373204"/>
    <w:rPr>
      <w:rFonts w:asciiTheme="majorHAnsi" w:eastAsiaTheme="majorEastAsia" w:hAnsiTheme="majorHAnsi" w:cstheme="majorBidi"/>
      <w:color w:val="1F6096" w:themeColor="accent1" w:themeShade="7F"/>
    </w:rPr>
  </w:style>
  <w:style w:type="character" w:customStyle="1" w:styleId="Heading7Char">
    <w:name w:val="Heading 7 Char"/>
    <w:basedOn w:val="DefaultParagraphFont"/>
    <w:link w:val="Heading7"/>
    <w:uiPriority w:val="9"/>
    <w:semiHidden/>
    <w:rsid w:val="00373204"/>
    <w:rPr>
      <w:rFonts w:asciiTheme="majorHAnsi" w:eastAsiaTheme="majorEastAsia" w:hAnsiTheme="majorHAnsi" w:cstheme="majorBidi"/>
      <w:i/>
      <w:iCs/>
      <w:color w:val="1F6096" w:themeColor="accent1" w:themeShade="7F"/>
    </w:rPr>
  </w:style>
  <w:style w:type="character" w:customStyle="1" w:styleId="Heading8Char">
    <w:name w:val="Heading 8 Char"/>
    <w:basedOn w:val="DefaultParagraphFont"/>
    <w:link w:val="Heading8"/>
    <w:uiPriority w:val="9"/>
    <w:semiHidden/>
    <w:rsid w:val="003732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73204"/>
    <w:rPr>
      <w:rFonts w:asciiTheme="majorHAnsi" w:eastAsiaTheme="majorEastAsia" w:hAnsiTheme="majorHAnsi" w:cstheme="majorBidi"/>
      <w:i/>
      <w:iCs/>
      <w:color w:val="272727" w:themeColor="text1" w:themeTint="D8"/>
      <w:sz w:val="21"/>
      <w:szCs w:val="21"/>
    </w:rPr>
  </w:style>
  <w:style w:type="character" w:styleId="PageNumber">
    <w:name w:val="page number"/>
    <w:basedOn w:val="DefaultParagraphFont"/>
    <w:uiPriority w:val="99"/>
    <w:semiHidden/>
    <w:unhideWhenUsed/>
    <w:rsid w:val="00373204"/>
  </w:style>
  <w:style w:type="paragraph" w:styleId="DocumentMap">
    <w:name w:val="Document Map"/>
    <w:basedOn w:val="Normal"/>
    <w:link w:val="DocumentMapChar"/>
    <w:uiPriority w:val="99"/>
    <w:semiHidden/>
    <w:unhideWhenUsed/>
    <w:rsid w:val="00373204"/>
    <w:pPr>
      <w:spacing w:line="240" w:lineRule="auto"/>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373204"/>
    <w:rPr>
      <w:rFonts w:ascii="Times New Roman" w:hAnsi="Times New Roman" w:cs="Times New Roman"/>
    </w:rPr>
  </w:style>
  <w:style w:type="paragraph" w:customStyle="1" w:styleId="Bullet2">
    <w:name w:val="Bullet 2"/>
    <w:basedOn w:val="BodyText"/>
    <w:qFormat/>
    <w:rsid w:val="00373204"/>
    <w:pPr>
      <w:tabs>
        <w:tab w:val="num" w:pos="360"/>
        <w:tab w:val="num" w:pos="1440"/>
      </w:tabs>
      <w:spacing w:after="120" w:line="240" w:lineRule="auto"/>
    </w:pPr>
    <w:rPr>
      <w:rFonts w:cs="Times New Roman"/>
    </w:rPr>
  </w:style>
  <w:style w:type="paragraph" w:customStyle="1" w:styleId="Bullet3">
    <w:name w:val="Bullet 3"/>
    <w:basedOn w:val="BodyText"/>
    <w:qFormat/>
    <w:rsid w:val="00373204"/>
    <w:pPr>
      <w:tabs>
        <w:tab w:val="num" w:pos="360"/>
        <w:tab w:val="num" w:pos="2160"/>
      </w:tabs>
      <w:spacing w:after="120" w:line="240" w:lineRule="auto"/>
      <w:contextualSpacing/>
    </w:pPr>
    <w:rPr>
      <w:rFonts w:eastAsiaTheme="minorEastAsia"/>
    </w:rPr>
  </w:style>
  <w:style w:type="numbering" w:customStyle="1" w:styleId="AIRBullet">
    <w:name w:val="AIR Bullet"/>
    <w:uiPriority w:val="99"/>
    <w:rsid w:val="00373204"/>
    <w:pPr>
      <w:numPr>
        <w:numId w:val="2"/>
      </w:numPr>
    </w:pPr>
  </w:style>
  <w:style w:type="paragraph" w:customStyle="1" w:styleId="NumberedList">
    <w:name w:val="Numbered List"/>
    <w:qFormat/>
    <w:rsid w:val="009E271C"/>
    <w:pPr>
      <w:numPr>
        <w:numId w:val="4"/>
      </w:numPr>
      <w:spacing w:after="120"/>
      <w:ind w:left="720"/>
      <w:contextualSpacing/>
    </w:pPr>
  </w:style>
  <w:style w:type="paragraph" w:customStyle="1" w:styleId="Bullet1NumberedList">
    <w:name w:val="Bullet 1 Numbered List"/>
    <w:basedOn w:val="NumberedList"/>
    <w:qFormat/>
    <w:rsid w:val="002D1411"/>
    <w:pPr>
      <w:ind w:left="1440"/>
    </w:pPr>
  </w:style>
  <w:style w:type="character" w:customStyle="1" w:styleId="BodyTextMedium">
    <w:name w:val="Body Text Medium"/>
    <w:basedOn w:val="DefaultParagraphFont"/>
    <w:uiPriority w:val="1"/>
    <w:qFormat/>
    <w:rsid w:val="002D1411"/>
    <w:rPr>
      <w:rFonts w:asciiTheme="majorHAnsi" w:hAnsiTheme="majorHAnsi"/>
    </w:rPr>
  </w:style>
  <w:style w:type="paragraph" w:customStyle="1" w:styleId="TableTitle">
    <w:name w:val="Table Title"/>
    <w:qFormat/>
    <w:rsid w:val="00297140"/>
    <w:pPr>
      <w:spacing w:before="120" w:after="120" w:line="240" w:lineRule="auto"/>
    </w:pPr>
    <w:rPr>
      <w:rFonts w:asciiTheme="majorHAnsi" w:eastAsiaTheme="majorEastAsia" w:hAnsiTheme="majorHAnsi" w:cstheme="majorBidi"/>
      <w:color w:val="1F6096" w:themeColor="accent1" w:themeShade="7F"/>
    </w:rPr>
  </w:style>
  <w:style w:type="paragraph" w:customStyle="1" w:styleId="TableBullet">
    <w:name w:val="Table Bullet"/>
    <w:basedOn w:val="TableText"/>
    <w:qFormat/>
    <w:rsid w:val="00117362"/>
    <w:pPr>
      <w:numPr>
        <w:numId w:val="14"/>
      </w:numPr>
      <w:ind w:left="345"/>
    </w:pPr>
  </w:style>
  <w:style w:type="paragraph" w:customStyle="1" w:styleId="TableNumberedList">
    <w:name w:val="Table Numbered List"/>
    <w:qFormat/>
    <w:rsid w:val="00E945A1"/>
    <w:pPr>
      <w:numPr>
        <w:numId w:val="6"/>
      </w:numPr>
      <w:spacing w:line="240" w:lineRule="auto"/>
    </w:pPr>
    <w:rPr>
      <w:sz w:val="20"/>
    </w:rPr>
  </w:style>
  <w:style w:type="paragraph" w:customStyle="1" w:styleId="TableNote">
    <w:name w:val="Table Note"/>
    <w:basedOn w:val="TableText"/>
    <w:qFormat/>
    <w:rsid w:val="00297140"/>
    <w:pPr>
      <w:spacing w:before="80"/>
    </w:pPr>
    <w:rPr>
      <w:spacing w:val="-2"/>
      <w:sz w:val="18"/>
    </w:rPr>
  </w:style>
  <w:style w:type="paragraph" w:customStyle="1" w:styleId="TableTextMedium">
    <w:name w:val="Table Text Medium"/>
    <w:basedOn w:val="TableText"/>
    <w:link w:val="TableTextMediumChar"/>
    <w:qFormat/>
    <w:rsid w:val="00A440E6"/>
    <w:rPr>
      <w:rFonts w:asciiTheme="majorHAnsi" w:hAnsiTheme="majorHAnsi"/>
    </w:rPr>
  </w:style>
  <w:style w:type="character" w:customStyle="1" w:styleId="TableTextMediumChar">
    <w:name w:val="Table Text Medium Char"/>
    <w:basedOn w:val="TableTextChar"/>
    <w:link w:val="TableTextMedium"/>
    <w:rsid w:val="00A440E6"/>
    <w:rPr>
      <w:rFonts w:asciiTheme="majorHAnsi" w:hAnsiTheme="majorHAnsi"/>
      <w:sz w:val="20"/>
    </w:rPr>
  </w:style>
  <w:style w:type="paragraph" w:customStyle="1" w:styleId="TableText14pt">
    <w:name w:val="Table Text 14 pt"/>
    <w:link w:val="TableText14ptChar"/>
    <w:qFormat/>
    <w:rsid w:val="00D039A0"/>
    <w:pPr>
      <w:jc w:val="center"/>
    </w:pPr>
    <w:rPr>
      <w:sz w:val="28"/>
    </w:rPr>
  </w:style>
  <w:style w:type="character" w:customStyle="1" w:styleId="TableTextCenteredChar">
    <w:name w:val="Table Text Centered Char"/>
    <w:basedOn w:val="TableTextChar"/>
    <w:link w:val="TableTextCentered"/>
    <w:rsid w:val="00950C3A"/>
    <w:rPr>
      <w:sz w:val="20"/>
    </w:rPr>
  </w:style>
  <w:style w:type="character" w:customStyle="1" w:styleId="TableText14ptChar">
    <w:name w:val="Table Text 14 pt Char"/>
    <w:basedOn w:val="TableTextCenteredChar"/>
    <w:link w:val="TableText14pt"/>
    <w:rsid w:val="00D039A0"/>
    <w:rPr>
      <w:sz w:val="28"/>
    </w:rPr>
  </w:style>
  <w:style w:type="paragraph" w:customStyle="1" w:styleId="TableText12pt">
    <w:name w:val="Table Text 12 pt"/>
    <w:link w:val="TableText12ptChar"/>
    <w:qFormat/>
    <w:rsid w:val="00D039A0"/>
    <w:pPr>
      <w:spacing w:after="0" w:line="240" w:lineRule="auto"/>
    </w:pPr>
    <w:rPr>
      <w:sz w:val="24"/>
    </w:rPr>
  </w:style>
  <w:style w:type="paragraph" w:customStyle="1" w:styleId="TableText8pt">
    <w:name w:val="Table Text 8 pt"/>
    <w:link w:val="TableText8ptChar"/>
    <w:qFormat/>
    <w:rsid w:val="00950C3A"/>
    <w:pPr>
      <w:spacing w:after="0" w:line="240" w:lineRule="auto"/>
    </w:pPr>
    <w:rPr>
      <w:sz w:val="16"/>
      <w:szCs w:val="28"/>
    </w:rPr>
  </w:style>
  <w:style w:type="character" w:customStyle="1" w:styleId="TableText12ptChar">
    <w:name w:val="Table Text 12 pt Char"/>
    <w:basedOn w:val="DefaultParagraphFont"/>
    <w:link w:val="TableText12pt"/>
    <w:rsid w:val="00D039A0"/>
    <w:rPr>
      <w:sz w:val="24"/>
    </w:rPr>
  </w:style>
  <w:style w:type="character" w:customStyle="1" w:styleId="TableText8ptChar">
    <w:name w:val="Table Text 8 pt Char"/>
    <w:basedOn w:val="DefaultParagraphFont"/>
    <w:link w:val="TableText8pt"/>
    <w:rsid w:val="00950C3A"/>
    <w:rPr>
      <w:sz w:val="16"/>
      <w:szCs w:val="28"/>
    </w:rPr>
  </w:style>
  <w:style w:type="paragraph" w:customStyle="1" w:styleId="TableTextItalic">
    <w:name w:val="Table Text Italic"/>
    <w:basedOn w:val="TableText"/>
    <w:qFormat/>
    <w:rsid w:val="00F57E4D"/>
    <w:rPr>
      <w:i/>
    </w:rPr>
  </w:style>
  <w:style w:type="character" w:customStyle="1" w:styleId="NoSpacingChar">
    <w:name w:val="No Spacing Char"/>
    <w:basedOn w:val="DefaultParagraphFont"/>
    <w:link w:val="NoSpacing"/>
    <w:uiPriority w:val="1"/>
    <w:rsid w:val="007914C6"/>
  </w:style>
  <w:style w:type="paragraph" w:customStyle="1" w:styleId="Checkmarkbulletlist">
    <w:name w:val="Checkmark bullet list"/>
    <w:basedOn w:val="Bullet1"/>
    <w:qFormat/>
    <w:rsid w:val="00795AD6"/>
    <w:pPr>
      <w:numPr>
        <w:numId w:val="7"/>
      </w:numPr>
      <w:ind w:left="720"/>
    </w:pPr>
  </w:style>
  <w:style w:type="table" w:customStyle="1" w:styleId="TableGrid1">
    <w:name w:val="Table Grid1"/>
    <w:basedOn w:val="TableNormal"/>
    <w:next w:val="TableGrid"/>
    <w:uiPriority w:val="39"/>
    <w:rsid w:val="000F6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E111FE"/>
    <w:pPr>
      <w:spacing w:after="0" w:line="240" w:lineRule="auto"/>
    </w:pPr>
    <w:tblPr>
      <w:tblStyleRowBandSize w:val="1"/>
      <w:tblStyleColBandSize w:val="1"/>
      <w:tblBorders>
        <w:top w:val="single" w:sz="4" w:space="0" w:color="CEE3F5" w:themeColor="accent1" w:themeTint="66"/>
        <w:left w:val="single" w:sz="4" w:space="0" w:color="CEE3F5" w:themeColor="accent1" w:themeTint="66"/>
        <w:bottom w:val="single" w:sz="4" w:space="0" w:color="CEE3F5" w:themeColor="accent1" w:themeTint="66"/>
        <w:right w:val="single" w:sz="4" w:space="0" w:color="CEE3F5" w:themeColor="accent1" w:themeTint="66"/>
        <w:insideH w:val="single" w:sz="4" w:space="0" w:color="CEE3F5" w:themeColor="accent1" w:themeTint="66"/>
        <w:insideV w:val="single" w:sz="4" w:space="0" w:color="CEE3F5" w:themeColor="accent1" w:themeTint="66"/>
      </w:tblBorders>
    </w:tblPr>
    <w:tblStylePr w:type="firstRow">
      <w:rPr>
        <w:b/>
        <w:bCs/>
      </w:rPr>
      <w:tblPr/>
      <w:tcPr>
        <w:tcBorders>
          <w:bottom w:val="single" w:sz="12" w:space="0" w:color="B6D5F0" w:themeColor="accent1" w:themeTint="99"/>
        </w:tcBorders>
      </w:tcPr>
    </w:tblStylePr>
    <w:tblStylePr w:type="lastRow">
      <w:rPr>
        <w:b/>
        <w:bCs/>
      </w:rPr>
      <w:tblPr/>
      <w:tcPr>
        <w:tcBorders>
          <w:top w:val="double" w:sz="2" w:space="0" w:color="B6D5F0"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788712">
      <w:bodyDiv w:val="1"/>
      <w:marLeft w:val="0"/>
      <w:marRight w:val="0"/>
      <w:marTop w:val="0"/>
      <w:marBottom w:val="0"/>
      <w:divBdr>
        <w:top w:val="none" w:sz="0" w:space="0" w:color="auto"/>
        <w:left w:val="none" w:sz="0" w:space="0" w:color="auto"/>
        <w:bottom w:val="none" w:sz="0" w:space="0" w:color="auto"/>
        <w:right w:val="none" w:sz="0" w:space="0" w:color="auto"/>
      </w:divBdr>
    </w:div>
    <w:div w:id="754329522">
      <w:bodyDiv w:val="1"/>
      <w:marLeft w:val="0"/>
      <w:marRight w:val="0"/>
      <w:marTop w:val="0"/>
      <w:marBottom w:val="0"/>
      <w:divBdr>
        <w:top w:val="none" w:sz="0" w:space="0" w:color="auto"/>
        <w:left w:val="none" w:sz="0" w:space="0" w:color="auto"/>
        <w:bottom w:val="none" w:sz="0" w:space="0" w:color="auto"/>
        <w:right w:val="none" w:sz="0" w:space="0" w:color="auto"/>
      </w:divBdr>
      <w:divsChild>
        <w:div w:id="408036492">
          <w:marLeft w:val="0"/>
          <w:marRight w:val="0"/>
          <w:marTop w:val="0"/>
          <w:marBottom w:val="0"/>
          <w:divBdr>
            <w:top w:val="none" w:sz="0" w:space="0" w:color="auto"/>
            <w:left w:val="none" w:sz="0" w:space="0" w:color="auto"/>
            <w:bottom w:val="none" w:sz="0" w:space="0" w:color="auto"/>
            <w:right w:val="none" w:sz="0" w:space="0" w:color="auto"/>
          </w:divBdr>
          <w:divsChild>
            <w:div w:id="70080729">
              <w:marLeft w:val="0"/>
              <w:marRight w:val="0"/>
              <w:marTop w:val="0"/>
              <w:marBottom w:val="0"/>
              <w:divBdr>
                <w:top w:val="none" w:sz="0" w:space="0" w:color="auto"/>
                <w:left w:val="none" w:sz="0" w:space="0" w:color="auto"/>
                <w:bottom w:val="none" w:sz="0" w:space="0" w:color="auto"/>
                <w:right w:val="none" w:sz="0" w:space="0" w:color="auto"/>
              </w:divBdr>
              <w:divsChild>
                <w:div w:id="461266240">
                  <w:marLeft w:val="0"/>
                  <w:marRight w:val="0"/>
                  <w:marTop w:val="0"/>
                  <w:marBottom w:val="0"/>
                  <w:divBdr>
                    <w:top w:val="none" w:sz="0" w:space="0" w:color="auto"/>
                    <w:left w:val="none" w:sz="0" w:space="0" w:color="auto"/>
                    <w:bottom w:val="none" w:sz="0" w:space="0" w:color="auto"/>
                    <w:right w:val="none" w:sz="0" w:space="0" w:color="auto"/>
                  </w:divBdr>
                  <w:divsChild>
                    <w:div w:id="4224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25753">
      <w:bodyDiv w:val="1"/>
      <w:marLeft w:val="0"/>
      <w:marRight w:val="0"/>
      <w:marTop w:val="0"/>
      <w:marBottom w:val="0"/>
      <w:divBdr>
        <w:top w:val="none" w:sz="0" w:space="0" w:color="auto"/>
        <w:left w:val="none" w:sz="0" w:space="0" w:color="auto"/>
        <w:bottom w:val="none" w:sz="0" w:space="0" w:color="auto"/>
        <w:right w:val="none" w:sz="0" w:space="0" w:color="auto"/>
      </w:divBdr>
      <w:divsChild>
        <w:div w:id="192227052">
          <w:marLeft w:val="0"/>
          <w:marRight w:val="0"/>
          <w:marTop w:val="0"/>
          <w:marBottom w:val="0"/>
          <w:divBdr>
            <w:top w:val="none" w:sz="0" w:space="0" w:color="auto"/>
            <w:left w:val="none" w:sz="0" w:space="0" w:color="auto"/>
            <w:bottom w:val="none" w:sz="0" w:space="0" w:color="auto"/>
            <w:right w:val="none" w:sz="0" w:space="0" w:color="auto"/>
          </w:divBdr>
        </w:div>
        <w:div w:id="822352786">
          <w:marLeft w:val="0"/>
          <w:marRight w:val="0"/>
          <w:marTop w:val="0"/>
          <w:marBottom w:val="0"/>
          <w:divBdr>
            <w:top w:val="none" w:sz="0" w:space="0" w:color="auto"/>
            <w:left w:val="none" w:sz="0" w:space="0" w:color="auto"/>
            <w:bottom w:val="none" w:sz="0" w:space="0" w:color="auto"/>
            <w:right w:val="none" w:sz="0" w:space="0" w:color="auto"/>
          </w:divBdr>
        </w:div>
        <w:div w:id="835878318">
          <w:marLeft w:val="0"/>
          <w:marRight w:val="0"/>
          <w:marTop w:val="0"/>
          <w:marBottom w:val="0"/>
          <w:divBdr>
            <w:top w:val="none" w:sz="0" w:space="0" w:color="auto"/>
            <w:left w:val="none" w:sz="0" w:space="0" w:color="auto"/>
            <w:bottom w:val="none" w:sz="0" w:space="0" w:color="auto"/>
            <w:right w:val="none" w:sz="0" w:space="0" w:color="auto"/>
          </w:divBdr>
        </w:div>
        <w:div w:id="840513315">
          <w:marLeft w:val="0"/>
          <w:marRight w:val="0"/>
          <w:marTop w:val="0"/>
          <w:marBottom w:val="0"/>
          <w:divBdr>
            <w:top w:val="none" w:sz="0" w:space="0" w:color="auto"/>
            <w:left w:val="none" w:sz="0" w:space="0" w:color="auto"/>
            <w:bottom w:val="none" w:sz="0" w:space="0" w:color="auto"/>
            <w:right w:val="none" w:sz="0" w:space="0" w:color="auto"/>
          </w:divBdr>
        </w:div>
        <w:div w:id="1076711124">
          <w:marLeft w:val="0"/>
          <w:marRight w:val="0"/>
          <w:marTop w:val="0"/>
          <w:marBottom w:val="0"/>
          <w:divBdr>
            <w:top w:val="none" w:sz="0" w:space="0" w:color="auto"/>
            <w:left w:val="none" w:sz="0" w:space="0" w:color="auto"/>
            <w:bottom w:val="none" w:sz="0" w:space="0" w:color="auto"/>
            <w:right w:val="none" w:sz="0" w:space="0" w:color="auto"/>
          </w:divBdr>
        </w:div>
        <w:div w:id="1179465589">
          <w:marLeft w:val="0"/>
          <w:marRight w:val="0"/>
          <w:marTop w:val="0"/>
          <w:marBottom w:val="0"/>
          <w:divBdr>
            <w:top w:val="none" w:sz="0" w:space="0" w:color="auto"/>
            <w:left w:val="none" w:sz="0" w:space="0" w:color="auto"/>
            <w:bottom w:val="none" w:sz="0" w:space="0" w:color="auto"/>
            <w:right w:val="none" w:sz="0" w:space="0" w:color="auto"/>
          </w:divBdr>
        </w:div>
        <w:div w:id="1189175326">
          <w:marLeft w:val="0"/>
          <w:marRight w:val="0"/>
          <w:marTop w:val="0"/>
          <w:marBottom w:val="0"/>
          <w:divBdr>
            <w:top w:val="none" w:sz="0" w:space="0" w:color="auto"/>
            <w:left w:val="none" w:sz="0" w:space="0" w:color="auto"/>
            <w:bottom w:val="none" w:sz="0" w:space="0" w:color="auto"/>
            <w:right w:val="none" w:sz="0" w:space="0" w:color="auto"/>
          </w:divBdr>
        </w:div>
        <w:div w:id="1248733499">
          <w:marLeft w:val="0"/>
          <w:marRight w:val="0"/>
          <w:marTop w:val="0"/>
          <w:marBottom w:val="0"/>
          <w:divBdr>
            <w:top w:val="none" w:sz="0" w:space="0" w:color="auto"/>
            <w:left w:val="none" w:sz="0" w:space="0" w:color="auto"/>
            <w:bottom w:val="none" w:sz="0" w:space="0" w:color="auto"/>
            <w:right w:val="none" w:sz="0" w:space="0" w:color="auto"/>
          </w:divBdr>
        </w:div>
        <w:div w:id="1921715429">
          <w:marLeft w:val="0"/>
          <w:marRight w:val="0"/>
          <w:marTop w:val="0"/>
          <w:marBottom w:val="0"/>
          <w:divBdr>
            <w:top w:val="none" w:sz="0" w:space="0" w:color="auto"/>
            <w:left w:val="none" w:sz="0" w:space="0" w:color="auto"/>
            <w:bottom w:val="none" w:sz="0" w:space="0" w:color="auto"/>
            <w:right w:val="none" w:sz="0" w:space="0" w:color="auto"/>
          </w:divBdr>
        </w:div>
      </w:divsChild>
    </w:div>
    <w:div w:id="1542748752">
      <w:bodyDiv w:val="1"/>
      <w:marLeft w:val="0"/>
      <w:marRight w:val="0"/>
      <w:marTop w:val="0"/>
      <w:marBottom w:val="0"/>
      <w:divBdr>
        <w:top w:val="none" w:sz="0" w:space="0" w:color="auto"/>
        <w:left w:val="none" w:sz="0" w:space="0" w:color="auto"/>
        <w:bottom w:val="none" w:sz="0" w:space="0" w:color="auto"/>
        <w:right w:val="none" w:sz="0" w:space="0" w:color="auto"/>
      </w:divBdr>
      <w:divsChild>
        <w:div w:id="85031854">
          <w:marLeft w:val="0"/>
          <w:marRight w:val="0"/>
          <w:marTop w:val="0"/>
          <w:marBottom w:val="0"/>
          <w:divBdr>
            <w:top w:val="none" w:sz="0" w:space="0" w:color="auto"/>
            <w:left w:val="none" w:sz="0" w:space="0" w:color="auto"/>
            <w:bottom w:val="none" w:sz="0" w:space="0" w:color="auto"/>
            <w:right w:val="none" w:sz="0" w:space="0" w:color="auto"/>
          </w:divBdr>
        </w:div>
        <w:div w:id="94255901">
          <w:marLeft w:val="0"/>
          <w:marRight w:val="0"/>
          <w:marTop w:val="0"/>
          <w:marBottom w:val="0"/>
          <w:divBdr>
            <w:top w:val="none" w:sz="0" w:space="0" w:color="auto"/>
            <w:left w:val="none" w:sz="0" w:space="0" w:color="auto"/>
            <w:bottom w:val="none" w:sz="0" w:space="0" w:color="auto"/>
            <w:right w:val="none" w:sz="0" w:space="0" w:color="auto"/>
          </w:divBdr>
        </w:div>
        <w:div w:id="463163947">
          <w:marLeft w:val="0"/>
          <w:marRight w:val="0"/>
          <w:marTop w:val="0"/>
          <w:marBottom w:val="0"/>
          <w:divBdr>
            <w:top w:val="none" w:sz="0" w:space="0" w:color="auto"/>
            <w:left w:val="none" w:sz="0" w:space="0" w:color="auto"/>
            <w:bottom w:val="none" w:sz="0" w:space="0" w:color="auto"/>
            <w:right w:val="none" w:sz="0" w:space="0" w:color="auto"/>
          </w:divBdr>
        </w:div>
        <w:div w:id="1427925530">
          <w:marLeft w:val="0"/>
          <w:marRight w:val="0"/>
          <w:marTop w:val="0"/>
          <w:marBottom w:val="0"/>
          <w:divBdr>
            <w:top w:val="none" w:sz="0" w:space="0" w:color="auto"/>
            <w:left w:val="none" w:sz="0" w:space="0" w:color="auto"/>
            <w:bottom w:val="none" w:sz="0" w:space="0" w:color="auto"/>
            <w:right w:val="none" w:sz="0" w:space="0" w:color="auto"/>
          </w:divBdr>
        </w:div>
        <w:div w:id="1727145820">
          <w:marLeft w:val="0"/>
          <w:marRight w:val="0"/>
          <w:marTop w:val="0"/>
          <w:marBottom w:val="0"/>
          <w:divBdr>
            <w:top w:val="none" w:sz="0" w:space="0" w:color="auto"/>
            <w:left w:val="none" w:sz="0" w:space="0" w:color="auto"/>
            <w:bottom w:val="none" w:sz="0" w:space="0" w:color="auto"/>
            <w:right w:val="none" w:sz="0" w:space="0" w:color="auto"/>
          </w:divBdr>
        </w:div>
        <w:div w:id="1738824981">
          <w:marLeft w:val="0"/>
          <w:marRight w:val="0"/>
          <w:marTop w:val="0"/>
          <w:marBottom w:val="0"/>
          <w:divBdr>
            <w:top w:val="none" w:sz="0" w:space="0" w:color="auto"/>
            <w:left w:val="none" w:sz="0" w:space="0" w:color="auto"/>
            <w:bottom w:val="none" w:sz="0" w:space="0" w:color="auto"/>
            <w:right w:val="none" w:sz="0" w:space="0" w:color="auto"/>
          </w:divBdr>
        </w:div>
        <w:div w:id="2007049365">
          <w:marLeft w:val="0"/>
          <w:marRight w:val="0"/>
          <w:marTop w:val="0"/>
          <w:marBottom w:val="0"/>
          <w:divBdr>
            <w:top w:val="none" w:sz="0" w:space="0" w:color="auto"/>
            <w:left w:val="none" w:sz="0" w:space="0" w:color="auto"/>
            <w:bottom w:val="none" w:sz="0" w:space="0" w:color="auto"/>
            <w:right w:val="none" w:sz="0" w:space="0" w:color="auto"/>
          </w:divBdr>
        </w:div>
        <w:div w:id="2081095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texasequitytoolkit.org" TargetMode="External"/><Relationship Id="rId26" Type="http://schemas.openxmlformats.org/officeDocument/2006/relationships/header" Target="header3.xml"/><Relationship Id="rId39" Type="http://schemas.openxmlformats.org/officeDocument/2006/relationships/hyperlink" Target="http://www.gtlcenter.org/sites/default/files/TeacherEffectiveness_ESSA.pdf" TargetMode="External"/><Relationship Id="rId21" Type="http://schemas.openxmlformats.org/officeDocument/2006/relationships/footer" Target="footer1.xml"/><Relationship Id="rId34" Type="http://schemas.openxmlformats.org/officeDocument/2006/relationships/hyperlink" Target="http://www.gtlcenter.org/sites/default/files/GTL_Resource_04_Agendas-ed-fmt.doc)" TargetMode="External"/><Relationship Id="rId42" Type="http://schemas.openxmlformats.org/officeDocument/2006/relationships/hyperlink" Target="http://ritter.tea.state.tx.us/peims/standards/weds/" TargetMode="External"/><Relationship Id="rId47" Type="http://schemas.openxmlformats.org/officeDocument/2006/relationships/hyperlink" Target="http://www.gtlcenter.org/sites/default/files/Coherence_Alignment_Tool.pdf)" TargetMode="External"/><Relationship Id="rId50" Type="http://schemas.openxmlformats.org/officeDocument/2006/relationships/hyperlink" Target="http://www.gtlcenter.org/sites/default/files/Implementation_Tips.pdf)" TargetMode="External"/><Relationship Id="rId55" Type="http://schemas.openxmlformats.org/officeDocument/2006/relationships/hyperlink" Target="http://www.relnei.org/events/skill-builder-archive/logic-model-to-program-evaluation.html"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texasequitytoolkit.org" TargetMode="External"/><Relationship Id="rId25" Type="http://schemas.openxmlformats.org/officeDocument/2006/relationships/image" Target="media/image11.png"/><Relationship Id="rId33" Type="http://schemas.openxmlformats.org/officeDocument/2006/relationships/hyperlink" Target="http://tea.texas.gov/About_TEA/Laws_and_Rules/NCLB_and_ESEA/Title_I,_Part_A_-_Improving_Basic_Programs/State_Plan_To_Ensure_Equitable_Access_to_Excellent_Educators/)" TargetMode="External"/><Relationship Id="rId38" Type="http://schemas.openxmlformats.org/officeDocument/2006/relationships/hyperlink" Target="https://www2.ed.gov/policy/elsec/leg/esea02/pg20.html)" TargetMode="External"/><Relationship Id="rId46" Type="http://schemas.openxmlformats.org/officeDocument/2006/relationships/hyperlink" Target="http://www.gtlcenter.org/sites/default/files/14-2591_GTL_Talent_Dev_Framework-ed_110714.pdf)"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exasequitytoolkit.org" TargetMode="External"/><Relationship Id="rId20" Type="http://schemas.openxmlformats.org/officeDocument/2006/relationships/header" Target="header1.xml"/><Relationship Id="rId29" Type="http://schemas.openxmlformats.org/officeDocument/2006/relationships/footer" Target="footer5.xml"/><Relationship Id="rId41" Type="http://schemas.openxmlformats.org/officeDocument/2006/relationships/hyperlink" Target="https://en.oxforddictionaries.com/definition/us/person_of_color)" TargetMode="External"/><Relationship Id="rId54" Type="http://schemas.openxmlformats.org/officeDocument/2006/relationships/hyperlink" Target="https://www.wkkf.org/resource-directory/resource/2006/02/wk-kellogg-foundation-logic-model-development-gu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32" Type="http://schemas.openxmlformats.org/officeDocument/2006/relationships/hyperlink" Target="https://www2.ed.gov/programs/titleiparta/resources.html" TargetMode="External"/><Relationship Id="rId37" Type="http://schemas.openxmlformats.org/officeDocument/2006/relationships/hyperlink" Target="http://www.gtlcenter.org/sites/default/files/GTL_Resource_05_IncorpFeedback-ed-fmt.doc" TargetMode="External"/><Relationship Id="rId40" Type="http://schemas.openxmlformats.org/officeDocument/2006/relationships/hyperlink" Target="http://ritter.tea.state.tx.us/peims/standards/weds/" TargetMode="External"/><Relationship Id="rId45" Type="http://schemas.openxmlformats.org/officeDocument/2006/relationships/hyperlink" Target="http://www.cedr.us/papers/working/CEDR%20WP%202014-4.pdf" TargetMode="External"/><Relationship Id="rId53" Type="http://schemas.openxmlformats.org/officeDocument/2006/relationships/hyperlink" Target="https://easn.grads360.org/"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hyperlink" Target="http://www.gtlcenter.org/sites/default/files/Communication_Guidebook.pdf)" TargetMode="External"/><Relationship Id="rId49" Type="http://schemas.openxmlformats.org/officeDocument/2006/relationships/hyperlink" Target="http://www.gtlcenter.org/sites/default/files/GTL_Resource_05_IncorpFeedback-ed-fmt.doc" TargetMode="External"/><Relationship Id="rId57"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hyperlink" Target="http://www.ed.gov/essa?src=rn)" TargetMode="External"/><Relationship Id="rId44" Type="http://schemas.openxmlformats.org/officeDocument/2006/relationships/hyperlink" Target="http://www.statutes.legis.state.tx.us/Docs/FA/htm/FA.65.htm" TargetMode="External"/><Relationship Id="rId52" Type="http://schemas.openxmlformats.org/officeDocument/2006/relationships/hyperlink" Target="http://www.gtlcenter.org/sites/default/files/Coherence_Alignment_Tool.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header" Target="header5.xml"/><Relationship Id="rId35" Type="http://schemas.openxmlformats.org/officeDocument/2006/relationships/hyperlink" Target="http://www.gtlcenter.org/sites/default/files/Communication_Guidebook.pdf)" TargetMode="External"/><Relationship Id="rId43" Type="http://schemas.openxmlformats.org/officeDocument/2006/relationships/hyperlink" Target="http://www.statutes.legis.state.tx.us/?link=ED" TargetMode="External"/><Relationship Id="rId48" Type="http://schemas.openxmlformats.org/officeDocument/2006/relationships/hyperlink" Target="https://easn.grads360.org/" TargetMode="External"/><Relationship Id="rId56" Type="http://schemas.openxmlformats.org/officeDocument/2006/relationships/hyperlink" Target="http://www.gtlcenter.org/sites/default/files/Monitoring_Tool.pdf" TargetMode="External"/><Relationship Id="rId8" Type="http://schemas.openxmlformats.org/officeDocument/2006/relationships/hyperlink" Target="https://texasequitytoolkit.org/" TargetMode="External"/><Relationship Id="rId51" Type="http://schemas.openxmlformats.org/officeDocument/2006/relationships/hyperlink" Target="http://www.gtlcenter.org/sites/default/files/14-2591_GTL_Talent_Dev_Framework-ed_110714.pdf)"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ed.gov/essa?src=r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Texas Equity Toolkit">
      <a:dk1>
        <a:sysClr val="windowText" lastClr="000000"/>
      </a:dk1>
      <a:lt1>
        <a:sysClr val="window" lastClr="FFFFFF"/>
      </a:lt1>
      <a:dk2>
        <a:srgbClr val="44546A"/>
      </a:dk2>
      <a:lt2>
        <a:srgbClr val="E7E6E6"/>
      </a:lt2>
      <a:accent1>
        <a:srgbClr val="86BBE6"/>
      </a:accent1>
      <a:accent2>
        <a:srgbClr val="FF8135"/>
      </a:accent2>
      <a:accent3>
        <a:srgbClr val="A5A5A5"/>
      </a:accent3>
      <a:accent4>
        <a:srgbClr val="FFC000"/>
      </a:accent4>
      <a:accent5>
        <a:srgbClr val="00437B"/>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4CF48-C365-44C2-8E72-53E46A5DA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3152</Words>
  <Characters>17973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American Institutes for Research</dc:creator>
  <cp:keywords/>
  <dc:description/>
  <cp:lastModifiedBy>Mark Kolstad</cp:lastModifiedBy>
  <cp:revision>14</cp:revision>
  <cp:lastPrinted>2017-03-27T19:10:00Z</cp:lastPrinted>
  <dcterms:created xsi:type="dcterms:W3CDTF">2017-03-02T17:41:00Z</dcterms:created>
  <dcterms:modified xsi:type="dcterms:W3CDTF">2017-03-29T20:55:00Z</dcterms:modified>
</cp:coreProperties>
</file>